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14278" w:type="dxa"/>
        <w:tblLayout w:type="fixed"/>
        <w:tblLook w:val="04A0" w:firstRow="1" w:lastRow="0" w:firstColumn="1" w:lastColumn="0" w:noHBand="0" w:noVBand="1"/>
      </w:tblPr>
      <w:tblGrid>
        <w:gridCol w:w="562"/>
        <w:gridCol w:w="1134"/>
        <w:gridCol w:w="1134"/>
        <w:gridCol w:w="6663"/>
        <w:gridCol w:w="4785"/>
      </w:tblGrid>
      <w:tr w:rsidR="00DC63F0" w:rsidRPr="005872A5" w:rsidTr="0004098A">
        <w:tc>
          <w:tcPr>
            <w:tcW w:w="562" w:type="dxa"/>
            <w:shd w:val="clear" w:color="auto" w:fill="auto"/>
          </w:tcPr>
          <w:p w:rsidR="00DC63F0" w:rsidRPr="005872A5" w:rsidRDefault="00DC63F0" w:rsidP="00672C60">
            <w:pPr>
              <w:ind w:left="720"/>
              <w:contextualSpacing/>
              <w:rPr>
                <w:rFonts w:ascii="Times New Roman" w:eastAsia="Calibri" w:hAnsi="Times New Roman" w:cs="Times New Roman"/>
                <w:lang w:eastAsia="pl-PL"/>
              </w:rPr>
            </w:pPr>
            <w:bookmarkStart w:id="0" w:name="_GoBack" w:colFirst="3" w:colLast="3"/>
            <w:r w:rsidRPr="005872A5">
              <w:rPr>
                <w:rFonts w:ascii="Times New Roman" w:eastAsia="Calibri" w:hAnsi="Times New Roman" w:cs="Times New Roman"/>
                <w:lang w:eastAsia="pl-PL"/>
              </w:rPr>
              <w:t>LP</w:t>
            </w:r>
          </w:p>
        </w:tc>
        <w:tc>
          <w:tcPr>
            <w:tcW w:w="1134" w:type="dxa"/>
            <w:shd w:val="clear" w:color="auto" w:fill="auto"/>
            <w:vAlign w:val="center"/>
          </w:tcPr>
          <w:p w:rsidR="00DC63F0" w:rsidRPr="005872A5" w:rsidRDefault="00DC63F0" w:rsidP="00672C60">
            <w:pPr>
              <w:rPr>
                <w:rFonts w:ascii="Times New Roman" w:hAnsi="Times New Roman" w:cs="Times New Roman"/>
                <w:b/>
              </w:rPr>
            </w:pPr>
            <w:r w:rsidRPr="005872A5">
              <w:rPr>
                <w:rFonts w:ascii="Times New Roman" w:hAnsi="Times New Roman" w:cs="Times New Roman"/>
                <w:b/>
              </w:rPr>
              <w:t>Podmiot zgłaszający uwagę</w:t>
            </w:r>
          </w:p>
          <w:p w:rsidR="00DC63F0" w:rsidRPr="005872A5" w:rsidRDefault="00DC63F0" w:rsidP="00672C60">
            <w:pPr>
              <w:rPr>
                <w:rFonts w:ascii="Times New Roman" w:hAnsi="Times New Roman" w:cs="Times New Roman"/>
                <w:b/>
              </w:rPr>
            </w:pPr>
          </w:p>
        </w:tc>
        <w:tc>
          <w:tcPr>
            <w:tcW w:w="1134" w:type="dxa"/>
            <w:shd w:val="clear" w:color="auto" w:fill="auto"/>
            <w:vAlign w:val="center"/>
          </w:tcPr>
          <w:p w:rsidR="00DC63F0" w:rsidRPr="005872A5" w:rsidRDefault="00DC63F0" w:rsidP="00672C60">
            <w:pPr>
              <w:rPr>
                <w:rFonts w:ascii="Times New Roman" w:hAnsi="Times New Roman" w:cs="Times New Roman"/>
                <w:b/>
              </w:rPr>
            </w:pPr>
            <w:r w:rsidRPr="005872A5">
              <w:rPr>
                <w:rFonts w:ascii="Times New Roman" w:hAnsi="Times New Roman" w:cs="Times New Roman"/>
                <w:b/>
              </w:rPr>
              <w:t>Jednostka redakcyjna</w:t>
            </w:r>
          </w:p>
          <w:p w:rsidR="00DC63F0" w:rsidRPr="005872A5" w:rsidRDefault="00DC63F0" w:rsidP="00672C60">
            <w:pPr>
              <w:rPr>
                <w:rFonts w:ascii="Times New Roman" w:hAnsi="Times New Roman" w:cs="Times New Roman"/>
                <w:b/>
              </w:rPr>
            </w:pPr>
          </w:p>
        </w:tc>
        <w:tc>
          <w:tcPr>
            <w:tcW w:w="6663" w:type="dxa"/>
            <w:shd w:val="clear" w:color="auto" w:fill="auto"/>
            <w:vAlign w:val="center"/>
          </w:tcPr>
          <w:p w:rsidR="00DC63F0" w:rsidRPr="005872A5" w:rsidRDefault="00DC63F0" w:rsidP="00672C60">
            <w:pPr>
              <w:jc w:val="center"/>
              <w:rPr>
                <w:rFonts w:ascii="Times New Roman" w:hAnsi="Times New Roman" w:cs="Times New Roman"/>
                <w:b/>
              </w:rPr>
            </w:pPr>
            <w:r w:rsidRPr="005872A5">
              <w:rPr>
                <w:rFonts w:ascii="Times New Roman" w:hAnsi="Times New Roman" w:cs="Times New Roman"/>
                <w:b/>
              </w:rPr>
              <w:t>Treść uwagi</w:t>
            </w:r>
          </w:p>
        </w:tc>
        <w:tc>
          <w:tcPr>
            <w:tcW w:w="4785" w:type="dxa"/>
            <w:shd w:val="clear" w:color="auto" w:fill="auto"/>
            <w:vAlign w:val="center"/>
          </w:tcPr>
          <w:p w:rsidR="00DC63F0" w:rsidRPr="005872A5" w:rsidRDefault="00DC63F0" w:rsidP="00672C60">
            <w:pPr>
              <w:rPr>
                <w:rFonts w:ascii="Times New Roman" w:hAnsi="Times New Roman" w:cs="Times New Roman"/>
                <w:b/>
              </w:rPr>
            </w:pPr>
            <w:r w:rsidRPr="005872A5">
              <w:rPr>
                <w:rFonts w:ascii="Times New Roman" w:hAnsi="Times New Roman" w:cs="Times New Roman"/>
                <w:b/>
              </w:rPr>
              <w:t xml:space="preserve">Stanowisko </w:t>
            </w:r>
            <w:r>
              <w:rPr>
                <w:rFonts w:ascii="Times New Roman" w:hAnsi="Times New Roman" w:cs="Times New Roman"/>
                <w:b/>
              </w:rPr>
              <w:t>Ministra Infrastruktury</w:t>
            </w:r>
          </w:p>
          <w:p w:rsidR="00DC63F0" w:rsidRPr="005872A5" w:rsidRDefault="00DC63F0" w:rsidP="00672C60">
            <w:pPr>
              <w:rPr>
                <w:rFonts w:ascii="Times New Roman" w:hAnsi="Times New Roman" w:cs="Times New Roman"/>
                <w:b/>
              </w:rPr>
            </w:pP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DC63F0" w:rsidP="00672C60">
            <w:pPr>
              <w:rPr>
                <w:rFonts w:ascii="Times New Roman" w:hAnsi="Times New Roman" w:cs="Times New Roman"/>
              </w:rPr>
            </w:pPr>
            <w:r>
              <w:rPr>
                <w:rFonts w:ascii="Times New Roman" w:hAnsi="Times New Roman" w:cs="Times New Roman"/>
              </w:rPr>
              <w:t>GITD</w:t>
            </w:r>
          </w:p>
        </w:tc>
        <w:tc>
          <w:tcPr>
            <w:tcW w:w="1134" w:type="dxa"/>
            <w:shd w:val="clear" w:color="auto" w:fill="auto"/>
          </w:tcPr>
          <w:p w:rsidR="00DC63F0" w:rsidRPr="005872A5" w:rsidRDefault="00DC63F0" w:rsidP="00672C60">
            <w:pPr>
              <w:rPr>
                <w:rFonts w:ascii="Times New Roman" w:hAnsi="Times New Roman" w:cs="Times New Roman"/>
              </w:rPr>
            </w:pPr>
            <w:r>
              <w:rPr>
                <w:rFonts w:ascii="Times New Roman" w:hAnsi="Times New Roman" w:cs="Times New Roman"/>
              </w:rPr>
              <w:t>Art. 1 pkt 8</w:t>
            </w:r>
          </w:p>
        </w:tc>
        <w:tc>
          <w:tcPr>
            <w:tcW w:w="6663" w:type="dxa"/>
            <w:shd w:val="clear" w:color="auto" w:fill="auto"/>
          </w:tcPr>
          <w:p w:rsidR="00416753" w:rsidRDefault="00416753" w:rsidP="00DC63F0">
            <w:pPr>
              <w:jc w:val="both"/>
              <w:rPr>
                <w:rFonts w:ascii="Times New Roman" w:hAnsi="Times New Roman" w:cs="Times New Roman"/>
              </w:rPr>
            </w:pPr>
            <w:r w:rsidRPr="00416753">
              <w:rPr>
                <w:rFonts w:ascii="Times New Roman" w:hAnsi="Times New Roman" w:cs="Times New Roman"/>
              </w:rPr>
              <w:t xml:space="preserve">W pierwszej kolejności pragnę zauważyć, że przepisy dyrektywy Parlamentu Europejskiego i Rady (UE) 2019/520 z dnia 19 marca 2019 r. w sprawie interoperacyjności systemów elektronicznego poboru opłat drogowych i ułatwiania transgranicznej wymiany informacji na temat przypadków nieuiszczenia opłat drogowych w Unii (Dz. Urz. UE L 91 z 29.3.2019, str. 45) oraz prawa krajowego przewidują wyłącznie samą wymianę informacji o podmiotach naruszających obowiązek uiszczenia opłat drogowych. Brak jest natomiast regulacji dotyczącej wzajemnej pomocy państw członkowskich Unii Europejskiej w zakresie egzekucji już nałożonej kary pieniężnej. Ustawa z dnia 11 października 2013 r. o wzajemnej pomocy przy dochodzeniu podatków, należności celnych i innych należności pieniężnych (Dz. U. z 2020 r. poz. 765 i 2320) przewiduje możliwość dochodzenia należności od podmiotów zagranicznych, należy jednak zwrócić uwagę, że art. 2 ww. ustawy zawiera katalog należności pieniężnych, do których ustawa ma zastosowanie, przy czym nie zostały wskazane w nim administracyjne kary pieniężne. Ponadto zgodnie z treścią art. 33 ust. 1 pkt 1 ww. ustawy z wnioskiem o udzielenie pomocy można wystąpić, jeżeli wysokość należności pieniężnej lub łączna wysokość kilku należności pieniężnych przeliczona na euro według kursu ostatnio ogłoszonego w Dzienniku Urzędowym Unii Europejskiej przed dniem wysłania wniosku nie jest niższa niż 1500 euro. Wysokość pojedynczej kary pieniężnej nakładanej przez GITD w związku z naruszeniem obowiązku uiszczenie opłaty elektronicznej nie mieści się w normie przyjętej w ww. ustawie. Zgodnie natomiast z art. 6 zdanie pierwsze ustawy z dnia 17 czerwca 1966 r. o postępowaniu egzekucyjnym w administracji (Dz. U. z 2020 r. poz. 1427, z późn. zm.)  w razie uchylania się zobowiązanego od wykonania obowiązku wierzyciel powinien podjąć czynności zmierzające do zastosowania środków egzekucyjnych. Z powyższego wynika, że w odniesieniu do proponowanego stanu prawnego GITD nie będzie miał </w:t>
            </w:r>
            <w:r w:rsidRPr="00416753">
              <w:rPr>
                <w:rFonts w:ascii="Times New Roman" w:hAnsi="Times New Roman" w:cs="Times New Roman"/>
              </w:rPr>
              <w:lastRenderedPageBreak/>
              <w:t>prawnych możliwości dochodzenia należności od podmiotów zagranicznych.</w:t>
            </w:r>
          </w:p>
          <w:p w:rsidR="00416753" w:rsidRDefault="00416753" w:rsidP="00DC63F0">
            <w:pPr>
              <w:jc w:val="both"/>
              <w:rPr>
                <w:rFonts w:ascii="Times New Roman" w:hAnsi="Times New Roman" w:cs="Times New Roman"/>
              </w:rPr>
            </w:pPr>
          </w:p>
          <w:p w:rsidR="00DC63F0" w:rsidRPr="00DC63F0" w:rsidRDefault="00DC63F0" w:rsidP="00DC63F0">
            <w:pPr>
              <w:jc w:val="both"/>
              <w:rPr>
                <w:rFonts w:ascii="Times New Roman" w:hAnsi="Times New Roman" w:cs="Times New Roman"/>
              </w:rPr>
            </w:pPr>
            <w:r w:rsidRPr="00DC63F0">
              <w:rPr>
                <w:rFonts w:ascii="Times New Roman" w:hAnsi="Times New Roman" w:cs="Times New Roman"/>
              </w:rPr>
              <w:t>Proponuje się nowe brzmienie w art. 13mb ust. 2 pkt 2 lit a projektu:</w:t>
            </w:r>
          </w:p>
          <w:p w:rsidR="00DC63F0" w:rsidRPr="00DC63F0" w:rsidRDefault="00DC63F0" w:rsidP="00DC63F0">
            <w:pPr>
              <w:jc w:val="both"/>
              <w:rPr>
                <w:rFonts w:ascii="Times New Roman" w:hAnsi="Times New Roman" w:cs="Times New Roman"/>
              </w:rPr>
            </w:pPr>
            <w:r w:rsidRPr="00DC63F0">
              <w:rPr>
                <w:rFonts w:ascii="Times New Roman" w:hAnsi="Times New Roman" w:cs="Times New Roman"/>
              </w:rPr>
              <w:t>„a) inspektorom i osobom zatrudnionym w Inspekcji Tr</w:t>
            </w:r>
            <w:r>
              <w:rPr>
                <w:rFonts w:ascii="Times New Roman" w:hAnsi="Times New Roman" w:cs="Times New Roman"/>
              </w:rPr>
              <w:t xml:space="preserve">ansportu Drogowego, na potrzeby </w:t>
            </w:r>
            <w:r w:rsidRPr="00DC63F0">
              <w:rPr>
                <w:rFonts w:ascii="Times New Roman" w:hAnsi="Times New Roman" w:cs="Times New Roman"/>
              </w:rPr>
              <w:t>prowadzenia kontroli i postępowań w sprawie nałożeni</w:t>
            </w:r>
            <w:r>
              <w:rPr>
                <w:rFonts w:ascii="Times New Roman" w:hAnsi="Times New Roman" w:cs="Times New Roman"/>
              </w:rPr>
              <w:t xml:space="preserve">a kary pieniężnej za naruszenia </w:t>
            </w:r>
            <w:r w:rsidRPr="00DC63F0">
              <w:rPr>
                <w:rFonts w:ascii="Times New Roman" w:hAnsi="Times New Roman" w:cs="Times New Roman"/>
              </w:rPr>
              <w:t>obowiązku uiszczenia opłaty elektronicznej;”.</w:t>
            </w:r>
          </w:p>
          <w:p w:rsidR="00DC63F0" w:rsidRPr="005872A5" w:rsidRDefault="00DC63F0" w:rsidP="00DC63F0">
            <w:pPr>
              <w:jc w:val="both"/>
              <w:rPr>
                <w:rFonts w:ascii="Times New Roman" w:hAnsi="Times New Roman" w:cs="Times New Roman"/>
              </w:rPr>
            </w:pPr>
            <w:r w:rsidRPr="00DC63F0">
              <w:rPr>
                <w:rFonts w:ascii="Times New Roman" w:hAnsi="Times New Roman" w:cs="Times New Roman"/>
              </w:rPr>
              <w:t>Proponowana zmiana doprecyzowuje, że udostęp</w:t>
            </w:r>
            <w:r>
              <w:rPr>
                <w:rFonts w:ascii="Times New Roman" w:hAnsi="Times New Roman" w:cs="Times New Roman"/>
              </w:rPr>
              <w:t xml:space="preserve">nianie informacji przez krajowe </w:t>
            </w:r>
            <w:r w:rsidRPr="00DC63F0">
              <w:rPr>
                <w:rFonts w:ascii="Times New Roman" w:hAnsi="Times New Roman" w:cs="Times New Roman"/>
              </w:rPr>
              <w:t>podmioty uprawnione następować będzie na potrzeby kontroli i prowadzonych postępowań.</w:t>
            </w:r>
          </w:p>
        </w:tc>
        <w:tc>
          <w:tcPr>
            <w:tcW w:w="4785" w:type="dxa"/>
            <w:shd w:val="clear" w:color="auto" w:fill="auto"/>
          </w:tcPr>
          <w:p w:rsidR="00DC63F0" w:rsidRDefault="007127BE" w:rsidP="00672C60">
            <w:pPr>
              <w:rPr>
                <w:rFonts w:ascii="Times New Roman" w:hAnsi="Times New Roman" w:cs="Times New Roman"/>
              </w:rPr>
            </w:pPr>
            <w:r>
              <w:rPr>
                <w:rFonts w:ascii="Times New Roman" w:hAnsi="Times New Roman" w:cs="Times New Roman"/>
              </w:rPr>
              <w:lastRenderedPageBreak/>
              <w:t>Uwaga uwzględniona.</w:t>
            </w:r>
          </w:p>
          <w:p w:rsidR="007127BE" w:rsidRDefault="007127BE" w:rsidP="007127BE">
            <w:pPr>
              <w:rPr>
                <w:rFonts w:ascii="Times New Roman" w:hAnsi="Times New Roman" w:cs="Times New Roman"/>
              </w:rPr>
            </w:pPr>
            <w:r w:rsidRPr="007127BE">
              <w:rPr>
                <w:rFonts w:ascii="Times New Roman" w:hAnsi="Times New Roman" w:cs="Times New Roman"/>
              </w:rPr>
              <w:t xml:space="preserve">Projekt zmieniono zgodnie z </w:t>
            </w:r>
            <w:r>
              <w:rPr>
                <w:rFonts w:ascii="Times New Roman" w:hAnsi="Times New Roman" w:cs="Times New Roman"/>
              </w:rPr>
              <w:t>propozycją GITD</w:t>
            </w:r>
            <w:r w:rsidRPr="007127BE">
              <w:rPr>
                <w:rFonts w:ascii="Times New Roman" w:hAnsi="Times New Roman" w:cs="Times New Roman"/>
              </w:rPr>
              <w:t>.</w:t>
            </w:r>
          </w:p>
          <w:p w:rsidR="00416753" w:rsidRDefault="00416753" w:rsidP="007127BE">
            <w:pPr>
              <w:rPr>
                <w:rFonts w:ascii="Times New Roman" w:hAnsi="Times New Roman" w:cs="Times New Roman"/>
              </w:rPr>
            </w:pPr>
          </w:p>
          <w:p w:rsidR="00416753" w:rsidRPr="005872A5" w:rsidRDefault="00416753" w:rsidP="0004098A">
            <w:pPr>
              <w:rPr>
                <w:rFonts w:ascii="Times New Roman" w:hAnsi="Times New Roman" w:cs="Times New Roman"/>
              </w:rPr>
            </w:pPr>
            <w:r>
              <w:rPr>
                <w:rFonts w:ascii="Times New Roman" w:hAnsi="Times New Roman" w:cs="Times New Roman"/>
              </w:rPr>
              <w:t>Uwaga ogólna odnośnie p</w:t>
            </w:r>
            <w:r w:rsidR="0004098A">
              <w:rPr>
                <w:rFonts w:ascii="Times New Roman" w:hAnsi="Times New Roman" w:cs="Times New Roman"/>
              </w:rPr>
              <w:t>o</w:t>
            </w:r>
            <w:r>
              <w:rPr>
                <w:rFonts w:ascii="Times New Roman" w:hAnsi="Times New Roman" w:cs="Times New Roman"/>
              </w:rPr>
              <w:t xml:space="preserve">dmiotów zagranicznych przyjęta do wiadomości MI. </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DC63F0" w:rsidP="00672C60">
            <w:pPr>
              <w:rPr>
                <w:rFonts w:ascii="Times New Roman" w:hAnsi="Times New Roman" w:cs="Times New Roman"/>
              </w:rPr>
            </w:pPr>
            <w:r>
              <w:rPr>
                <w:rFonts w:ascii="Times New Roman" w:hAnsi="Times New Roman" w:cs="Times New Roman"/>
              </w:rPr>
              <w:t>GITD</w:t>
            </w:r>
          </w:p>
        </w:tc>
        <w:tc>
          <w:tcPr>
            <w:tcW w:w="1134" w:type="dxa"/>
            <w:shd w:val="clear" w:color="auto" w:fill="auto"/>
          </w:tcPr>
          <w:p w:rsidR="00DC63F0" w:rsidRPr="005872A5" w:rsidRDefault="00DC63F0" w:rsidP="00672C60">
            <w:pPr>
              <w:rPr>
                <w:rFonts w:ascii="Times New Roman" w:hAnsi="Times New Roman" w:cs="Times New Roman"/>
              </w:rPr>
            </w:pPr>
            <w:r>
              <w:rPr>
                <w:rFonts w:ascii="Times New Roman" w:hAnsi="Times New Roman" w:cs="Times New Roman"/>
              </w:rPr>
              <w:t>Art. 1 pkt 8</w:t>
            </w:r>
          </w:p>
        </w:tc>
        <w:tc>
          <w:tcPr>
            <w:tcW w:w="6663" w:type="dxa"/>
            <w:shd w:val="clear" w:color="auto" w:fill="auto"/>
          </w:tcPr>
          <w:p w:rsidR="00DC63F0" w:rsidRPr="00DC63F0" w:rsidRDefault="00DC63F0" w:rsidP="00DC63F0">
            <w:pPr>
              <w:jc w:val="both"/>
              <w:rPr>
                <w:rFonts w:ascii="Times New Roman" w:hAnsi="Times New Roman" w:cs="Times New Roman"/>
              </w:rPr>
            </w:pPr>
            <w:r>
              <w:rPr>
                <w:rFonts w:ascii="Times New Roman" w:hAnsi="Times New Roman" w:cs="Times New Roman"/>
              </w:rPr>
              <w:t>W art. 13mf</w:t>
            </w:r>
            <w:r w:rsidRPr="00DC63F0">
              <w:rPr>
                <w:rFonts w:ascii="Times New Roman" w:hAnsi="Times New Roman" w:cs="Times New Roman"/>
              </w:rPr>
              <w:t xml:space="preserve"> ust. 2 proponuje się nadać brzmienie:</w:t>
            </w:r>
          </w:p>
          <w:p w:rsidR="00DC63F0" w:rsidRPr="00DC63F0" w:rsidRDefault="00DC63F0" w:rsidP="00DC63F0">
            <w:pPr>
              <w:jc w:val="both"/>
              <w:rPr>
                <w:rFonts w:ascii="Times New Roman" w:hAnsi="Times New Roman" w:cs="Times New Roman"/>
              </w:rPr>
            </w:pPr>
            <w:r w:rsidRPr="00DC63F0">
              <w:rPr>
                <w:rFonts w:ascii="Times New Roman" w:hAnsi="Times New Roman" w:cs="Times New Roman"/>
              </w:rPr>
              <w:t>„2. W przypadku, o którym mowa w ust. 1, Główny Insp</w:t>
            </w:r>
            <w:r>
              <w:rPr>
                <w:rFonts w:ascii="Times New Roman" w:hAnsi="Times New Roman" w:cs="Times New Roman"/>
              </w:rPr>
              <w:t xml:space="preserve">ektor Transportu Drogowego może </w:t>
            </w:r>
            <w:r w:rsidRPr="00DC63F0">
              <w:rPr>
                <w:rFonts w:ascii="Times New Roman" w:hAnsi="Times New Roman" w:cs="Times New Roman"/>
              </w:rPr>
              <w:t>odstąpić od wszczęcia postępowania o nałożeniu kary pienięż</w:t>
            </w:r>
            <w:r>
              <w:rPr>
                <w:rFonts w:ascii="Times New Roman" w:hAnsi="Times New Roman" w:cs="Times New Roman"/>
              </w:rPr>
              <w:t xml:space="preserve">nej, jeżeli przewidywane koszty </w:t>
            </w:r>
            <w:r w:rsidRPr="00DC63F0">
              <w:rPr>
                <w:rFonts w:ascii="Times New Roman" w:hAnsi="Times New Roman" w:cs="Times New Roman"/>
              </w:rPr>
              <w:t>prowadzenia postępowania przekraczają połowę wysokości kar</w:t>
            </w:r>
            <w:r>
              <w:rPr>
                <w:rFonts w:ascii="Times New Roman" w:hAnsi="Times New Roman" w:cs="Times New Roman"/>
              </w:rPr>
              <w:t xml:space="preserve">y pieniężnej za dane naruszenie </w:t>
            </w:r>
            <w:r w:rsidRPr="00DC63F0">
              <w:rPr>
                <w:rFonts w:ascii="Times New Roman" w:hAnsi="Times New Roman" w:cs="Times New Roman"/>
              </w:rPr>
              <w:t>obowiązku uiszczenia opłaty elektronicznej.”;</w:t>
            </w:r>
          </w:p>
          <w:p w:rsidR="00DC63F0" w:rsidRPr="005872A5" w:rsidRDefault="00DC63F0" w:rsidP="00DC63F0">
            <w:pPr>
              <w:jc w:val="both"/>
              <w:rPr>
                <w:rFonts w:ascii="Times New Roman" w:hAnsi="Times New Roman" w:cs="Times New Roman"/>
              </w:rPr>
            </w:pPr>
            <w:r w:rsidRPr="00DC63F0">
              <w:rPr>
                <w:rFonts w:ascii="Times New Roman" w:hAnsi="Times New Roman" w:cs="Times New Roman"/>
              </w:rPr>
              <w:t>Zmiana podyktowana jest faktem, że wysokość koszt</w:t>
            </w:r>
            <w:r>
              <w:rPr>
                <w:rFonts w:ascii="Times New Roman" w:hAnsi="Times New Roman" w:cs="Times New Roman"/>
              </w:rPr>
              <w:t xml:space="preserve">ów prowadzenia postępowania nie </w:t>
            </w:r>
            <w:r w:rsidRPr="00DC63F0">
              <w:rPr>
                <w:rFonts w:ascii="Times New Roman" w:hAnsi="Times New Roman" w:cs="Times New Roman"/>
              </w:rPr>
              <w:t>zawsze jest możliwa do ustalenia przed jego wszczęciem, tak więc nie można wykluc</w:t>
            </w:r>
            <w:r>
              <w:rPr>
                <w:rFonts w:ascii="Times New Roman" w:hAnsi="Times New Roman" w:cs="Times New Roman"/>
              </w:rPr>
              <w:t xml:space="preserve">zyć </w:t>
            </w:r>
            <w:r w:rsidRPr="00DC63F0">
              <w:rPr>
                <w:rFonts w:ascii="Times New Roman" w:hAnsi="Times New Roman" w:cs="Times New Roman"/>
              </w:rPr>
              <w:t>przypadków, w których dopiero po wszczęciu postępowania i</w:t>
            </w:r>
            <w:r>
              <w:rPr>
                <w:rFonts w:ascii="Times New Roman" w:hAnsi="Times New Roman" w:cs="Times New Roman"/>
              </w:rPr>
              <w:t xml:space="preserve"> dokonaniu pierwszych czynności </w:t>
            </w:r>
            <w:r w:rsidRPr="00DC63F0">
              <w:rPr>
                <w:rFonts w:ascii="Times New Roman" w:hAnsi="Times New Roman" w:cs="Times New Roman"/>
              </w:rPr>
              <w:t>okaże się, że przewidywane koszty prowadzenia postępowani</w:t>
            </w:r>
            <w:r>
              <w:rPr>
                <w:rFonts w:ascii="Times New Roman" w:hAnsi="Times New Roman" w:cs="Times New Roman"/>
              </w:rPr>
              <w:t xml:space="preserve">a przekraczają połowę wysokości </w:t>
            </w:r>
            <w:r w:rsidRPr="00DC63F0">
              <w:rPr>
                <w:rFonts w:ascii="Times New Roman" w:hAnsi="Times New Roman" w:cs="Times New Roman"/>
              </w:rPr>
              <w:t>kary pieniężnej za dane naruszenie obowiązku uiszczenia opłaty elektronicznej.</w:t>
            </w:r>
          </w:p>
        </w:tc>
        <w:tc>
          <w:tcPr>
            <w:tcW w:w="4785" w:type="dxa"/>
            <w:shd w:val="clear" w:color="auto" w:fill="auto"/>
          </w:tcPr>
          <w:p w:rsidR="003C6752" w:rsidRPr="003C6752" w:rsidRDefault="003C6752" w:rsidP="003C6752">
            <w:pPr>
              <w:rPr>
                <w:rFonts w:ascii="Times New Roman" w:hAnsi="Times New Roman" w:cs="Times New Roman"/>
              </w:rPr>
            </w:pPr>
            <w:r w:rsidRPr="003C6752">
              <w:rPr>
                <w:rFonts w:ascii="Times New Roman" w:hAnsi="Times New Roman" w:cs="Times New Roman"/>
              </w:rPr>
              <w:t>Uwaga uwzględniona.</w:t>
            </w:r>
          </w:p>
          <w:p w:rsidR="007127BE" w:rsidRPr="005872A5" w:rsidRDefault="003C6752" w:rsidP="003C6752">
            <w:pPr>
              <w:rPr>
                <w:rFonts w:ascii="Times New Roman" w:hAnsi="Times New Roman" w:cs="Times New Roman"/>
              </w:rPr>
            </w:pPr>
            <w:r w:rsidRPr="003C6752">
              <w:rPr>
                <w:rFonts w:ascii="Times New Roman" w:hAnsi="Times New Roman" w:cs="Times New Roman"/>
              </w:rPr>
              <w:t>Projekt zmieniono zgodnie z treścią propozycją GITD.</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DC63F0" w:rsidP="00672C60">
            <w:pPr>
              <w:rPr>
                <w:rFonts w:ascii="Times New Roman" w:hAnsi="Times New Roman" w:cs="Times New Roman"/>
              </w:rPr>
            </w:pPr>
            <w:r>
              <w:rPr>
                <w:rFonts w:ascii="Times New Roman" w:hAnsi="Times New Roman" w:cs="Times New Roman"/>
              </w:rPr>
              <w:t xml:space="preserve">GITD </w:t>
            </w:r>
          </w:p>
        </w:tc>
        <w:tc>
          <w:tcPr>
            <w:tcW w:w="1134" w:type="dxa"/>
            <w:shd w:val="clear" w:color="auto" w:fill="auto"/>
          </w:tcPr>
          <w:p w:rsidR="00DC63F0" w:rsidRPr="005872A5" w:rsidRDefault="00DC63F0" w:rsidP="00672C60">
            <w:pPr>
              <w:rPr>
                <w:rFonts w:ascii="Times New Roman" w:hAnsi="Times New Roman" w:cs="Times New Roman"/>
              </w:rPr>
            </w:pPr>
            <w:r>
              <w:rPr>
                <w:rFonts w:ascii="Times New Roman" w:hAnsi="Times New Roman" w:cs="Times New Roman"/>
              </w:rPr>
              <w:t>Art. 1 pkt 8</w:t>
            </w:r>
          </w:p>
        </w:tc>
        <w:tc>
          <w:tcPr>
            <w:tcW w:w="6663" w:type="dxa"/>
            <w:shd w:val="clear" w:color="auto" w:fill="auto"/>
          </w:tcPr>
          <w:p w:rsidR="00DC63F0" w:rsidRPr="00DC63F0" w:rsidRDefault="00DC63F0" w:rsidP="00DC63F0">
            <w:pPr>
              <w:jc w:val="both"/>
              <w:rPr>
                <w:rFonts w:ascii="Times New Roman" w:hAnsi="Times New Roman" w:cs="Times New Roman"/>
              </w:rPr>
            </w:pPr>
            <w:r>
              <w:rPr>
                <w:rFonts w:ascii="Times New Roman" w:hAnsi="Times New Roman" w:cs="Times New Roman"/>
              </w:rPr>
              <w:t xml:space="preserve">W art. 13mf </w:t>
            </w:r>
            <w:r w:rsidRPr="00DC63F0">
              <w:rPr>
                <w:rFonts w:ascii="Times New Roman" w:hAnsi="Times New Roman" w:cs="Times New Roman"/>
              </w:rPr>
              <w:t>ust. 6 proponuje się nadać brzmienie:</w:t>
            </w:r>
          </w:p>
          <w:p w:rsidR="00DC63F0" w:rsidRPr="00DC63F0" w:rsidRDefault="00DC63F0" w:rsidP="00DC63F0">
            <w:pPr>
              <w:jc w:val="both"/>
              <w:rPr>
                <w:rFonts w:ascii="Times New Roman" w:hAnsi="Times New Roman" w:cs="Times New Roman"/>
              </w:rPr>
            </w:pPr>
            <w:r w:rsidRPr="00DC63F0">
              <w:rPr>
                <w:rFonts w:ascii="Times New Roman" w:hAnsi="Times New Roman" w:cs="Times New Roman"/>
              </w:rPr>
              <w:t>„6. Do zawiadomienia KPK dołącza się jego tłumaczenie</w:t>
            </w:r>
            <w:r>
              <w:rPr>
                <w:rFonts w:ascii="Times New Roman" w:hAnsi="Times New Roman" w:cs="Times New Roman"/>
              </w:rPr>
              <w:t xml:space="preserve"> na język, w którym sporządzono </w:t>
            </w:r>
            <w:r w:rsidRPr="00DC63F0">
              <w:rPr>
                <w:rFonts w:ascii="Times New Roman" w:hAnsi="Times New Roman" w:cs="Times New Roman"/>
              </w:rPr>
              <w:t>dokument rejestracyjny pojazdu, lub tłumaczenie na jed</w:t>
            </w:r>
            <w:r>
              <w:rPr>
                <w:rFonts w:ascii="Times New Roman" w:hAnsi="Times New Roman" w:cs="Times New Roman"/>
              </w:rPr>
              <w:t xml:space="preserve">en z języków urzędowych państwa </w:t>
            </w:r>
            <w:r w:rsidRPr="00DC63F0">
              <w:rPr>
                <w:rFonts w:ascii="Times New Roman" w:hAnsi="Times New Roman" w:cs="Times New Roman"/>
              </w:rPr>
              <w:t>członkowskiego Unii Europejskiej, w którym zarejestrow</w:t>
            </w:r>
            <w:r>
              <w:rPr>
                <w:rFonts w:ascii="Times New Roman" w:hAnsi="Times New Roman" w:cs="Times New Roman"/>
              </w:rPr>
              <w:t xml:space="preserve">ano pojazd wskazany w zapytaniu </w:t>
            </w:r>
            <w:r w:rsidRPr="00DC63F0">
              <w:rPr>
                <w:rFonts w:ascii="Times New Roman" w:hAnsi="Times New Roman" w:cs="Times New Roman"/>
              </w:rPr>
              <w:t>krajowym. Wątpliwości co do treści zawiadomienia rozstrz</w:t>
            </w:r>
            <w:r>
              <w:rPr>
                <w:rFonts w:ascii="Times New Roman" w:hAnsi="Times New Roman" w:cs="Times New Roman"/>
              </w:rPr>
              <w:t xml:space="preserve">ygane są na podstawie dokumentu </w:t>
            </w:r>
            <w:r w:rsidRPr="00DC63F0">
              <w:rPr>
                <w:rFonts w:ascii="Times New Roman" w:hAnsi="Times New Roman" w:cs="Times New Roman"/>
              </w:rPr>
              <w:t>sporządzonego w języku polskim.”.</w:t>
            </w:r>
          </w:p>
          <w:p w:rsidR="00DC63F0" w:rsidRPr="005872A5" w:rsidRDefault="00DC63F0" w:rsidP="00DC63F0">
            <w:pPr>
              <w:jc w:val="both"/>
              <w:rPr>
                <w:rFonts w:ascii="Times New Roman" w:hAnsi="Times New Roman" w:cs="Times New Roman"/>
              </w:rPr>
            </w:pPr>
            <w:r w:rsidRPr="00DC63F0">
              <w:rPr>
                <w:rFonts w:ascii="Times New Roman" w:hAnsi="Times New Roman" w:cs="Times New Roman"/>
              </w:rPr>
              <w:t>Wykreślenie wyrazów „jeżeli język ten został ust</w:t>
            </w:r>
            <w:r>
              <w:rPr>
                <w:rFonts w:ascii="Times New Roman" w:hAnsi="Times New Roman" w:cs="Times New Roman"/>
              </w:rPr>
              <w:t xml:space="preserve">alony przez Głównego Inspektora </w:t>
            </w:r>
            <w:r w:rsidRPr="00DC63F0">
              <w:rPr>
                <w:rFonts w:ascii="Times New Roman" w:hAnsi="Times New Roman" w:cs="Times New Roman"/>
              </w:rPr>
              <w:t>Transportu Drogowego” związane jest z faktem, iż w</w:t>
            </w:r>
            <w:r>
              <w:rPr>
                <w:rFonts w:ascii="Times New Roman" w:hAnsi="Times New Roman" w:cs="Times New Roman"/>
              </w:rPr>
              <w:t xml:space="preserve"> przypadku naruszenia obowiązku </w:t>
            </w:r>
            <w:r w:rsidRPr="00DC63F0">
              <w:rPr>
                <w:rFonts w:ascii="Times New Roman" w:hAnsi="Times New Roman" w:cs="Times New Roman"/>
              </w:rPr>
              <w:t>uiszczenia opłaty elektronicznej po numerze rejestracyjnym pojaz</w:t>
            </w:r>
            <w:r>
              <w:rPr>
                <w:rFonts w:ascii="Times New Roman" w:hAnsi="Times New Roman" w:cs="Times New Roman"/>
              </w:rPr>
              <w:t xml:space="preserve">du możliwe jest ustalenie kraju </w:t>
            </w:r>
            <w:r w:rsidRPr="00DC63F0">
              <w:rPr>
                <w:rFonts w:ascii="Times New Roman" w:hAnsi="Times New Roman" w:cs="Times New Roman"/>
              </w:rPr>
              <w:t xml:space="preserve">rejestracji, </w:t>
            </w:r>
            <w:r w:rsidRPr="00DC63F0">
              <w:rPr>
                <w:rFonts w:ascii="Times New Roman" w:hAnsi="Times New Roman" w:cs="Times New Roman"/>
              </w:rPr>
              <w:lastRenderedPageBreak/>
              <w:t xml:space="preserve">a co za tym idzie języka urzędowego danego kraju. Ponadto zgodnie z art. 24 </w:t>
            </w:r>
            <w:r>
              <w:rPr>
                <w:rFonts w:ascii="Times New Roman" w:hAnsi="Times New Roman" w:cs="Times New Roman"/>
              </w:rPr>
              <w:t xml:space="preserve">ust. 3 </w:t>
            </w:r>
            <w:r w:rsidRPr="00DC63F0">
              <w:rPr>
                <w:rFonts w:ascii="Times New Roman" w:hAnsi="Times New Roman" w:cs="Times New Roman"/>
              </w:rPr>
              <w:t>dyrektywy 2019/520, w przypadku gdy państwo członkowsk</w:t>
            </w:r>
            <w:r>
              <w:rPr>
                <w:rFonts w:ascii="Times New Roman" w:hAnsi="Times New Roman" w:cs="Times New Roman"/>
              </w:rPr>
              <w:t xml:space="preserve">ie, na którego terytorium miało </w:t>
            </w:r>
            <w:r w:rsidRPr="00DC63F0">
              <w:rPr>
                <w:rFonts w:ascii="Times New Roman" w:hAnsi="Times New Roman" w:cs="Times New Roman"/>
              </w:rPr>
              <w:t>miejsce nieuiszczenie opłaty drogowej, podejmie d</w:t>
            </w:r>
            <w:r>
              <w:rPr>
                <w:rFonts w:ascii="Times New Roman" w:hAnsi="Times New Roman" w:cs="Times New Roman"/>
              </w:rPr>
              <w:t xml:space="preserve">ecyzję o wszczęciu postępowania </w:t>
            </w:r>
            <w:r w:rsidRPr="00DC63F0">
              <w:rPr>
                <w:rFonts w:ascii="Times New Roman" w:hAnsi="Times New Roman" w:cs="Times New Roman"/>
              </w:rPr>
              <w:t xml:space="preserve">następczego dotyczącego nieuiszczenia opłaty drogowej, </w:t>
            </w:r>
            <w:r>
              <w:rPr>
                <w:rFonts w:ascii="Times New Roman" w:hAnsi="Times New Roman" w:cs="Times New Roman"/>
              </w:rPr>
              <w:t xml:space="preserve">wysyła ono – w celu zapewnienia </w:t>
            </w:r>
            <w:r w:rsidRPr="00DC63F0">
              <w:rPr>
                <w:rFonts w:ascii="Times New Roman" w:hAnsi="Times New Roman" w:cs="Times New Roman"/>
              </w:rPr>
              <w:t>poszanowania praw podstawowych – zawiadomienie w język</w:t>
            </w:r>
            <w:r>
              <w:rPr>
                <w:rFonts w:ascii="Times New Roman" w:hAnsi="Times New Roman" w:cs="Times New Roman"/>
              </w:rPr>
              <w:t xml:space="preserve">u, w jakim sporządzono dokument </w:t>
            </w:r>
            <w:r w:rsidRPr="00DC63F0">
              <w:rPr>
                <w:rFonts w:ascii="Times New Roman" w:hAnsi="Times New Roman" w:cs="Times New Roman"/>
              </w:rPr>
              <w:t>rejestracyjny pojazdu, jeśli jest on znany, lub w jednym z języków urzędowych państ</w:t>
            </w:r>
            <w:r>
              <w:rPr>
                <w:rFonts w:ascii="Times New Roman" w:hAnsi="Times New Roman" w:cs="Times New Roman"/>
              </w:rPr>
              <w:t xml:space="preserve">wa </w:t>
            </w:r>
            <w:r w:rsidRPr="00DC63F0">
              <w:rPr>
                <w:rFonts w:ascii="Times New Roman" w:hAnsi="Times New Roman" w:cs="Times New Roman"/>
              </w:rPr>
              <w:t>członkowskiego rejestracji. W przepisie tym wyrażenie „jeśli je</w:t>
            </w:r>
            <w:r>
              <w:rPr>
                <w:rFonts w:ascii="Times New Roman" w:hAnsi="Times New Roman" w:cs="Times New Roman"/>
              </w:rPr>
              <w:t xml:space="preserve">st on znany” należałoby odnieść </w:t>
            </w:r>
            <w:r w:rsidRPr="00DC63F0">
              <w:rPr>
                <w:rFonts w:ascii="Times New Roman" w:hAnsi="Times New Roman" w:cs="Times New Roman"/>
              </w:rPr>
              <w:t>do dokumentu rejestracyjnego pojazdu, a nie języka, g</w:t>
            </w:r>
            <w:r>
              <w:rPr>
                <w:rFonts w:ascii="Times New Roman" w:hAnsi="Times New Roman" w:cs="Times New Roman"/>
              </w:rPr>
              <w:t xml:space="preserve">dyż jak wskazano powyżej język, </w:t>
            </w:r>
            <w:r w:rsidRPr="00DC63F0">
              <w:rPr>
                <w:rFonts w:ascii="Times New Roman" w:hAnsi="Times New Roman" w:cs="Times New Roman"/>
              </w:rPr>
              <w:t>w którym należało będzie sporządzić zawiadomienie zawsze będzie możliwy do ustalenia.</w:t>
            </w:r>
          </w:p>
        </w:tc>
        <w:tc>
          <w:tcPr>
            <w:tcW w:w="4785" w:type="dxa"/>
            <w:shd w:val="clear" w:color="auto" w:fill="auto"/>
          </w:tcPr>
          <w:p w:rsidR="007127BE" w:rsidRDefault="007127BE" w:rsidP="007127BE">
            <w:pPr>
              <w:rPr>
                <w:rFonts w:ascii="Times New Roman" w:hAnsi="Times New Roman" w:cs="Times New Roman"/>
              </w:rPr>
            </w:pPr>
            <w:r>
              <w:rPr>
                <w:rFonts w:ascii="Times New Roman" w:hAnsi="Times New Roman" w:cs="Times New Roman"/>
              </w:rPr>
              <w:lastRenderedPageBreak/>
              <w:t>Uwaga uwzględniona.</w:t>
            </w:r>
          </w:p>
          <w:p w:rsidR="007127BE" w:rsidRPr="007127BE" w:rsidRDefault="007127BE" w:rsidP="007127BE">
            <w:pPr>
              <w:rPr>
                <w:rFonts w:ascii="Times New Roman" w:hAnsi="Times New Roman" w:cs="Times New Roman"/>
              </w:rPr>
            </w:pPr>
            <w:r w:rsidRPr="007127BE">
              <w:rPr>
                <w:rFonts w:ascii="Times New Roman" w:hAnsi="Times New Roman" w:cs="Times New Roman"/>
              </w:rPr>
              <w:t xml:space="preserve">Projekt zmieniono zgodnie z treścią </w:t>
            </w:r>
            <w:r>
              <w:rPr>
                <w:rFonts w:ascii="Times New Roman" w:hAnsi="Times New Roman" w:cs="Times New Roman"/>
              </w:rPr>
              <w:t>propozycją GITD</w:t>
            </w:r>
            <w:r w:rsidRPr="007127BE">
              <w:rPr>
                <w:rFonts w:ascii="Times New Roman" w:hAnsi="Times New Roman" w:cs="Times New Roman"/>
              </w:rPr>
              <w:t>.</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DC63F0" w:rsidP="00672C60">
            <w:pPr>
              <w:rPr>
                <w:rFonts w:ascii="Times New Roman" w:hAnsi="Times New Roman" w:cs="Times New Roman"/>
              </w:rPr>
            </w:pPr>
            <w:r>
              <w:rPr>
                <w:rFonts w:ascii="Times New Roman" w:hAnsi="Times New Roman" w:cs="Times New Roman"/>
              </w:rPr>
              <w:t>GITD</w:t>
            </w:r>
          </w:p>
        </w:tc>
        <w:tc>
          <w:tcPr>
            <w:tcW w:w="1134" w:type="dxa"/>
            <w:shd w:val="clear" w:color="auto" w:fill="auto"/>
          </w:tcPr>
          <w:p w:rsidR="00DC63F0" w:rsidRPr="005872A5" w:rsidRDefault="00FA5334" w:rsidP="00672C60">
            <w:pPr>
              <w:rPr>
                <w:rFonts w:ascii="Times New Roman" w:hAnsi="Times New Roman" w:cs="Times New Roman"/>
              </w:rPr>
            </w:pPr>
            <w:r>
              <w:rPr>
                <w:rFonts w:ascii="Times New Roman" w:hAnsi="Times New Roman" w:cs="Times New Roman"/>
              </w:rPr>
              <w:t>Art. 1 pkt 8</w:t>
            </w:r>
          </w:p>
        </w:tc>
        <w:tc>
          <w:tcPr>
            <w:tcW w:w="6663" w:type="dxa"/>
            <w:shd w:val="clear" w:color="auto" w:fill="auto"/>
          </w:tcPr>
          <w:p w:rsidR="00DC63F0" w:rsidRPr="00DC63F0" w:rsidRDefault="00DC63F0" w:rsidP="00DC63F0">
            <w:pPr>
              <w:jc w:val="both"/>
              <w:rPr>
                <w:rFonts w:ascii="Times New Roman" w:hAnsi="Times New Roman" w:cs="Times New Roman"/>
              </w:rPr>
            </w:pPr>
            <w:r w:rsidRPr="00DC63F0">
              <w:rPr>
                <w:rFonts w:ascii="Times New Roman" w:hAnsi="Times New Roman" w:cs="Times New Roman"/>
              </w:rPr>
              <w:t>W art. 13mg proponuje się dodanie ust. 12 w brzmieniu:</w:t>
            </w:r>
          </w:p>
          <w:p w:rsidR="00DC63F0" w:rsidRPr="00DC63F0" w:rsidRDefault="00DC63F0" w:rsidP="00DC63F0">
            <w:pPr>
              <w:jc w:val="both"/>
              <w:rPr>
                <w:rFonts w:ascii="Times New Roman" w:hAnsi="Times New Roman" w:cs="Times New Roman"/>
              </w:rPr>
            </w:pPr>
            <w:r w:rsidRPr="00DC63F0">
              <w:rPr>
                <w:rFonts w:ascii="Times New Roman" w:hAnsi="Times New Roman" w:cs="Times New Roman"/>
              </w:rPr>
              <w:t>„12. Minister właściwy do spraw transportu określi</w:t>
            </w:r>
            <w:r>
              <w:rPr>
                <w:rFonts w:ascii="Times New Roman" w:hAnsi="Times New Roman" w:cs="Times New Roman"/>
              </w:rPr>
              <w:t xml:space="preserve">, w drodze rozporządzenia, wzór </w:t>
            </w:r>
            <w:r w:rsidRPr="00DC63F0">
              <w:rPr>
                <w:rFonts w:ascii="Times New Roman" w:hAnsi="Times New Roman" w:cs="Times New Roman"/>
              </w:rPr>
              <w:t>pokwitowania pobranej kaucji oraz kary administracyjnej, o</w:t>
            </w:r>
            <w:r>
              <w:rPr>
                <w:rFonts w:ascii="Times New Roman" w:hAnsi="Times New Roman" w:cs="Times New Roman"/>
              </w:rPr>
              <w:t xml:space="preserve"> których mowa w art. 13m ust. 2 </w:t>
            </w:r>
            <w:r w:rsidRPr="00DC63F0">
              <w:rPr>
                <w:rFonts w:ascii="Times New Roman" w:hAnsi="Times New Roman" w:cs="Times New Roman"/>
              </w:rPr>
              <w:t xml:space="preserve">i art. 13mg ust. 1, mając na względzie jednolitość </w:t>
            </w:r>
            <w:r w:rsidR="00FA5334">
              <w:rPr>
                <w:rFonts w:ascii="Times New Roman" w:hAnsi="Times New Roman" w:cs="Times New Roman"/>
              </w:rPr>
              <w:t xml:space="preserve">dokumentów stosowanych przy jej </w:t>
            </w:r>
            <w:r w:rsidRPr="00DC63F0">
              <w:rPr>
                <w:rFonts w:ascii="Times New Roman" w:hAnsi="Times New Roman" w:cs="Times New Roman"/>
              </w:rPr>
              <w:t>pobieraniu.”.</w:t>
            </w:r>
          </w:p>
          <w:p w:rsidR="00DC63F0" w:rsidRPr="005872A5" w:rsidRDefault="00DC63F0" w:rsidP="00DC63F0">
            <w:pPr>
              <w:jc w:val="both"/>
              <w:rPr>
                <w:rFonts w:ascii="Times New Roman" w:hAnsi="Times New Roman" w:cs="Times New Roman"/>
              </w:rPr>
            </w:pPr>
            <w:r w:rsidRPr="00DC63F0">
              <w:rPr>
                <w:rFonts w:ascii="Times New Roman" w:hAnsi="Times New Roman" w:cs="Times New Roman"/>
              </w:rPr>
              <w:t>Wprowadzenie delegacji ustawowej pozwoli ujednolicić stosowane dokumenty.</w:t>
            </w:r>
          </w:p>
        </w:tc>
        <w:tc>
          <w:tcPr>
            <w:tcW w:w="4785" w:type="dxa"/>
            <w:shd w:val="clear" w:color="auto" w:fill="auto"/>
          </w:tcPr>
          <w:p w:rsidR="007127BE" w:rsidRDefault="007127BE" w:rsidP="007127BE">
            <w:pPr>
              <w:rPr>
                <w:rFonts w:ascii="Times New Roman" w:hAnsi="Times New Roman" w:cs="Times New Roman"/>
              </w:rPr>
            </w:pPr>
            <w:r>
              <w:rPr>
                <w:rFonts w:ascii="Times New Roman" w:hAnsi="Times New Roman" w:cs="Times New Roman"/>
              </w:rPr>
              <w:t xml:space="preserve">Uwaga </w:t>
            </w:r>
            <w:r w:rsidR="0004098A">
              <w:rPr>
                <w:rFonts w:ascii="Times New Roman" w:hAnsi="Times New Roman" w:cs="Times New Roman"/>
              </w:rPr>
              <w:t>wyjaśniona</w:t>
            </w:r>
            <w:r>
              <w:rPr>
                <w:rFonts w:ascii="Times New Roman" w:hAnsi="Times New Roman" w:cs="Times New Roman"/>
              </w:rPr>
              <w:t>.</w:t>
            </w:r>
          </w:p>
          <w:p w:rsidR="007127BE" w:rsidRPr="005872A5" w:rsidRDefault="007127BE" w:rsidP="0004098A">
            <w:pPr>
              <w:jc w:val="both"/>
              <w:rPr>
                <w:rFonts w:ascii="Times New Roman" w:hAnsi="Times New Roman" w:cs="Times New Roman"/>
              </w:rPr>
            </w:pPr>
            <w:r>
              <w:rPr>
                <w:rFonts w:ascii="Times New Roman" w:hAnsi="Times New Roman" w:cs="Times New Roman"/>
              </w:rPr>
              <w:t>Z</w:t>
            </w:r>
            <w:r w:rsidRPr="007127BE">
              <w:rPr>
                <w:rFonts w:ascii="Times New Roman" w:hAnsi="Times New Roman" w:cs="Times New Roman"/>
              </w:rPr>
              <w:t>godnie z art. 13l ust. 1 ustawy o drogach publicznych (Dz. U. z 2021 r. poz. 1376) do kontroli prawidłowości uiszczenia opłaty elektronicznej, w tym kontroli używanego w pojeździe urządzenia, a także nałożenia i pobierania kar pieniężnych jest uprawniony Główny Inspektor Transportu Drogowego. Adresatem norm określonych w art. 13m ust. 2 i art. 13mg ust. 1 jest Główny Inspektor Transportu Drogowego. Podkreślić należy, że tylko Główny Inspektor Transportu Drogowego jest uprawniony do nakładania i pobierania kar pieniężnych w związku z naruszeniem obowiązku uiszczenia opłaty elektronicznej. W opinii resortu infrastruktury wzór pokwitowania pobranej kaucji powinien zostać ustalony w drodze aktu wewnętrznego w Głównym Inspektoracie Transportu Drogowego.</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FA5334" w:rsidP="00672C60">
            <w:pPr>
              <w:rPr>
                <w:rFonts w:ascii="Times New Roman" w:hAnsi="Times New Roman" w:cs="Times New Roman"/>
              </w:rPr>
            </w:pPr>
            <w:r>
              <w:rPr>
                <w:rFonts w:ascii="Times New Roman" w:hAnsi="Times New Roman" w:cs="Times New Roman"/>
              </w:rPr>
              <w:t>GITD</w:t>
            </w:r>
          </w:p>
        </w:tc>
        <w:tc>
          <w:tcPr>
            <w:tcW w:w="1134" w:type="dxa"/>
            <w:shd w:val="clear" w:color="auto" w:fill="auto"/>
          </w:tcPr>
          <w:p w:rsidR="00DC63F0" w:rsidRPr="007127BE" w:rsidRDefault="00FA5334" w:rsidP="00672C60">
            <w:pPr>
              <w:rPr>
                <w:rFonts w:ascii="Times New Roman" w:hAnsi="Times New Roman" w:cs="Times New Roman"/>
                <w:lang w:val="en-GB"/>
              </w:rPr>
            </w:pPr>
            <w:r w:rsidRPr="007127BE">
              <w:rPr>
                <w:rFonts w:ascii="Times New Roman" w:hAnsi="Times New Roman" w:cs="Times New Roman"/>
                <w:lang w:val="en-GB"/>
              </w:rPr>
              <w:t>Art. 1 pkt 13 lit. a tiret czwarte</w:t>
            </w:r>
          </w:p>
        </w:tc>
        <w:tc>
          <w:tcPr>
            <w:tcW w:w="6663" w:type="dxa"/>
            <w:shd w:val="clear" w:color="auto" w:fill="auto"/>
          </w:tcPr>
          <w:p w:rsidR="00DC63F0" w:rsidRPr="005872A5" w:rsidRDefault="00FA5334" w:rsidP="00FA5334">
            <w:pPr>
              <w:jc w:val="both"/>
              <w:rPr>
                <w:rFonts w:ascii="Times New Roman" w:hAnsi="Times New Roman" w:cs="Times New Roman"/>
              </w:rPr>
            </w:pPr>
            <w:r w:rsidRPr="00FA5334">
              <w:rPr>
                <w:rFonts w:ascii="Times New Roman" w:hAnsi="Times New Roman" w:cs="Times New Roman"/>
              </w:rPr>
              <w:t>W związku z faktem, że Główny Inspektor Tran</w:t>
            </w:r>
            <w:r>
              <w:rPr>
                <w:rFonts w:ascii="Times New Roman" w:hAnsi="Times New Roman" w:cs="Times New Roman"/>
              </w:rPr>
              <w:t xml:space="preserve">sportu Drogowego jest wyłącznie </w:t>
            </w:r>
            <w:r w:rsidRPr="00FA5334">
              <w:rPr>
                <w:rFonts w:ascii="Times New Roman" w:hAnsi="Times New Roman" w:cs="Times New Roman"/>
              </w:rPr>
              <w:t>użytkownikiem systemu SPOE KAS w zakresie wykonywania ustawowych obowiązków</w:t>
            </w:r>
            <w:r w:rsidR="0004098A">
              <w:rPr>
                <w:rFonts w:ascii="Times New Roman" w:hAnsi="Times New Roman" w:cs="Times New Roman"/>
              </w:rPr>
              <w:t xml:space="preserve"> </w:t>
            </w:r>
            <w:r w:rsidRPr="00FA5334">
              <w:rPr>
                <w:rFonts w:ascii="Times New Roman" w:hAnsi="Times New Roman" w:cs="Times New Roman"/>
              </w:rPr>
              <w:t>kontrolnych, wszelka współpraca w zakresie pozyskiwania da</w:t>
            </w:r>
            <w:r>
              <w:rPr>
                <w:rFonts w:ascii="Times New Roman" w:hAnsi="Times New Roman" w:cs="Times New Roman"/>
              </w:rPr>
              <w:t xml:space="preserve">nych niezbędnych do prowadzenia </w:t>
            </w:r>
            <w:r w:rsidRPr="00FA5334">
              <w:rPr>
                <w:rFonts w:ascii="Times New Roman" w:hAnsi="Times New Roman" w:cs="Times New Roman"/>
              </w:rPr>
              <w:t>kontroli i postępowań administracyjnych prowadzona po</w:t>
            </w:r>
            <w:r>
              <w:rPr>
                <w:rFonts w:ascii="Times New Roman" w:hAnsi="Times New Roman" w:cs="Times New Roman"/>
              </w:rPr>
              <w:t xml:space="preserve">winna być z MF/KAS – operatorem </w:t>
            </w:r>
            <w:r w:rsidRPr="00FA5334">
              <w:rPr>
                <w:rFonts w:ascii="Times New Roman" w:hAnsi="Times New Roman" w:cs="Times New Roman"/>
              </w:rPr>
              <w:lastRenderedPageBreak/>
              <w:t>SPOE KAS. W efekcie należy zauważyć, iż wprowa</w:t>
            </w:r>
            <w:r>
              <w:rPr>
                <w:rFonts w:ascii="Times New Roman" w:hAnsi="Times New Roman" w:cs="Times New Roman"/>
              </w:rPr>
              <w:t xml:space="preserve">dzanie dodatkowych mechanizmów, </w:t>
            </w:r>
            <w:r w:rsidRPr="00FA5334">
              <w:rPr>
                <w:rFonts w:ascii="Times New Roman" w:hAnsi="Times New Roman" w:cs="Times New Roman"/>
              </w:rPr>
              <w:t>o których mowa w art. 16i ust. 1 pkt 4 (współpraca p</w:t>
            </w:r>
            <w:r>
              <w:rPr>
                <w:rFonts w:ascii="Times New Roman" w:hAnsi="Times New Roman" w:cs="Times New Roman"/>
              </w:rPr>
              <w:t xml:space="preserve">omiędzy dostawcą EETS a Głównym </w:t>
            </w:r>
            <w:r w:rsidRPr="00FA5334">
              <w:rPr>
                <w:rFonts w:ascii="Times New Roman" w:hAnsi="Times New Roman" w:cs="Times New Roman"/>
              </w:rPr>
              <w:t>Inspektorem Transportu Drogowego jako podmiotem uprawn</w:t>
            </w:r>
            <w:r>
              <w:rPr>
                <w:rFonts w:ascii="Times New Roman" w:hAnsi="Times New Roman" w:cs="Times New Roman"/>
              </w:rPr>
              <w:t xml:space="preserve">ionym do kontroli prawidłowości </w:t>
            </w:r>
            <w:r w:rsidRPr="00FA5334">
              <w:rPr>
                <w:rFonts w:ascii="Times New Roman" w:hAnsi="Times New Roman" w:cs="Times New Roman"/>
              </w:rPr>
              <w:t>uiszczania opłaty elektronicznej) oraz art. 16i ust. 5 pkt 1 (</w:t>
            </w:r>
            <w:r>
              <w:rPr>
                <w:rFonts w:ascii="Times New Roman" w:hAnsi="Times New Roman" w:cs="Times New Roman"/>
              </w:rPr>
              <w:t xml:space="preserve">porozumienie zawierane pomiędzy </w:t>
            </w:r>
            <w:r w:rsidRPr="00FA5334">
              <w:rPr>
                <w:rFonts w:ascii="Times New Roman" w:hAnsi="Times New Roman" w:cs="Times New Roman"/>
              </w:rPr>
              <w:t>Głównym Inspektorem Transportu Drogowego a dostawcą EETS) nie znajduje uzasadnienia.</w:t>
            </w:r>
          </w:p>
        </w:tc>
        <w:tc>
          <w:tcPr>
            <w:tcW w:w="4785" w:type="dxa"/>
            <w:shd w:val="clear" w:color="auto" w:fill="auto"/>
          </w:tcPr>
          <w:p w:rsidR="003C6752" w:rsidRPr="003C6752" w:rsidRDefault="003C6752" w:rsidP="003C6752">
            <w:pPr>
              <w:rPr>
                <w:rFonts w:ascii="Times New Roman" w:hAnsi="Times New Roman" w:cs="Times New Roman"/>
              </w:rPr>
            </w:pPr>
            <w:r w:rsidRPr="003C6752">
              <w:rPr>
                <w:rFonts w:ascii="Times New Roman" w:hAnsi="Times New Roman" w:cs="Times New Roman"/>
              </w:rPr>
              <w:lastRenderedPageBreak/>
              <w:t xml:space="preserve">Uwaga </w:t>
            </w:r>
            <w:r w:rsidR="0004098A">
              <w:rPr>
                <w:rFonts w:ascii="Times New Roman" w:hAnsi="Times New Roman" w:cs="Times New Roman"/>
              </w:rPr>
              <w:t>wyjaś</w:t>
            </w:r>
            <w:r w:rsidRPr="003C6752">
              <w:rPr>
                <w:rFonts w:ascii="Times New Roman" w:hAnsi="Times New Roman" w:cs="Times New Roman"/>
              </w:rPr>
              <w:t>niona.</w:t>
            </w:r>
          </w:p>
          <w:p w:rsidR="00DC63F0" w:rsidRPr="005872A5" w:rsidRDefault="003C6752" w:rsidP="0004098A">
            <w:pPr>
              <w:jc w:val="both"/>
              <w:rPr>
                <w:rFonts w:ascii="Times New Roman" w:hAnsi="Times New Roman" w:cs="Times New Roman"/>
              </w:rPr>
            </w:pPr>
            <w:r w:rsidRPr="003C6752">
              <w:rPr>
                <w:rFonts w:ascii="Times New Roman" w:hAnsi="Times New Roman" w:cs="Times New Roman"/>
              </w:rPr>
              <w:t xml:space="preserve">Zgodnie z art. 5 ust. 8 akapit pierwszy dyrektywy Parlamentu Europejskiego i Rady (UE) 2019/520 z dnia 19 marca 2019 r. w sprawę interoperacyjności systemów elektronicznego poboru opłat drogowych </w:t>
            </w:r>
            <w:r w:rsidRPr="003C6752">
              <w:rPr>
                <w:rFonts w:ascii="Times New Roman" w:hAnsi="Times New Roman" w:cs="Times New Roman"/>
              </w:rPr>
              <w:lastRenderedPageBreak/>
              <w:t xml:space="preserve">i ułatwiania transgranicznej wymiany informacji na temat przypadków nieuiszczenia opłat drogowych w Unii, Państwa członkowskie przyjmują środki konieczne do zapewnienia, aby dostawcy EETS, którzy świadczą usługi EETS na ich terytorium, współpracowali z podmiotami pobierającymi opłaty w ich wysiłkach dotyczących ustalenia osób podejrzanych o popełnienie wykroczenia. Państwa członkowskie przyjmują środki konieczne do zapewnienia, aby w przypadku podejrzenia nieuiszczenia opłaty drogowej podmiot pobierający opłaty miał możliwość uzyskania od dostawcy EETS danych odnoszących się do pojazdu, którego dotyczy podejrzenie nieuiszczenia opłaty drogowej, oraz do właściciela lub posiadacza tego pojazdu będącego klientem dostawcy EETS. Dostawca EETS natychmiastowo udostępnia takie dane. Zgodnie z przytoczonym przepisem dyrektywy dostawca EETS ma obwiązek współpracować z podmiotem pobierającym opłaty w celu ustalenia danych w odniesieniu do pojazdu podejrzanego o nieuiszczenie opłaty drogowej oraz danych właściciela lub posiadacza tego pojazdu będącego klientem dostawcy EETS. W obecnie obowiązujących przepisach prawa krajowego, zgodnie z art. 13l ust. 1 ustawy o drogach publicznych, Główny Inspektor Transportu Drogowego jest uprawniony do kontroli prawidłowości uiszczenia opłaty elektronicznej. Wobec czego, zasadnym jest aby dostawca EETS miał obowiązek współpracować z organem odpowiedzialnym za kontrolę prawidłowości uiszczenia opłaty elektronicznej. W opinii resortu zasady takiej współpracy powinno regulować porozumienie między dostawcą EETS a Głównym </w:t>
            </w:r>
            <w:r w:rsidRPr="003C6752">
              <w:rPr>
                <w:rFonts w:ascii="Times New Roman" w:hAnsi="Times New Roman" w:cs="Times New Roman"/>
              </w:rPr>
              <w:lastRenderedPageBreak/>
              <w:t>Inspektorem Transportu Drogowego. Analogiczne regulacje będą miały zastosowanie do Szefa KAS w zakresie kontroli prawidłowości wnoszenia opłaty za przejazd autostradą, o której mowa w art. 37a ust. 7 ustawy z dnia 27 października 1994 r. o autostradach płatnych oraz o Krajowym Funduszu Drogowym (Dz. U. z 2020 r. poz. 2268, z późn. zm.).</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FA5334" w:rsidP="00672C60">
            <w:pPr>
              <w:rPr>
                <w:rFonts w:ascii="Times New Roman" w:hAnsi="Times New Roman" w:cs="Times New Roman"/>
              </w:rPr>
            </w:pPr>
            <w:r>
              <w:rPr>
                <w:rFonts w:ascii="Times New Roman" w:hAnsi="Times New Roman" w:cs="Times New Roman"/>
              </w:rPr>
              <w:t>GITD</w:t>
            </w:r>
          </w:p>
        </w:tc>
        <w:tc>
          <w:tcPr>
            <w:tcW w:w="1134" w:type="dxa"/>
            <w:shd w:val="clear" w:color="auto" w:fill="auto"/>
          </w:tcPr>
          <w:p w:rsidR="00DC63F0" w:rsidRPr="005872A5" w:rsidRDefault="00DC63F0" w:rsidP="00672C60">
            <w:pPr>
              <w:rPr>
                <w:rFonts w:ascii="Times New Roman" w:hAnsi="Times New Roman" w:cs="Times New Roman"/>
              </w:rPr>
            </w:pPr>
          </w:p>
        </w:tc>
        <w:tc>
          <w:tcPr>
            <w:tcW w:w="6663" w:type="dxa"/>
            <w:shd w:val="clear" w:color="auto" w:fill="auto"/>
          </w:tcPr>
          <w:p w:rsidR="00FA5334" w:rsidRPr="00FA5334" w:rsidRDefault="00FA5334" w:rsidP="00FA5334">
            <w:pPr>
              <w:jc w:val="both"/>
              <w:rPr>
                <w:rFonts w:ascii="Times New Roman" w:hAnsi="Times New Roman" w:cs="Times New Roman"/>
              </w:rPr>
            </w:pPr>
            <w:r w:rsidRPr="00FA5334">
              <w:rPr>
                <w:rFonts w:ascii="Times New Roman" w:hAnsi="Times New Roman" w:cs="Times New Roman"/>
              </w:rPr>
              <w:t>Proponuje się dodanie art. 40a ust. 1cb w brzmieniu: „K</w:t>
            </w:r>
            <w:r>
              <w:rPr>
                <w:rFonts w:ascii="Times New Roman" w:hAnsi="Times New Roman" w:cs="Times New Roman"/>
              </w:rPr>
              <w:t xml:space="preserve">aucja, o której mowa w art. 13m </w:t>
            </w:r>
            <w:r w:rsidRPr="00FA5334">
              <w:rPr>
                <w:rFonts w:ascii="Times New Roman" w:hAnsi="Times New Roman" w:cs="Times New Roman"/>
              </w:rPr>
              <w:t>ust. 2 i art. 13 mg ust. 1 pkt 1, w przypadku kiedy organ nie m</w:t>
            </w:r>
            <w:r>
              <w:rPr>
                <w:rFonts w:ascii="Times New Roman" w:hAnsi="Times New Roman" w:cs="Times New Roman"/>
              </w:rPr>
              <w:t xml:space="preserve">a możliwości ustalenia rachunku </w:t>
            </w:r>
            <w:r w:rsidRPr="00FA5334">
              <w:rPr>
                <w:rFonts w:ascii="Times New Roman" w:hAnsi="Times New Roman" w:cs="Times New Roman"/>
              </w:rPr>
              <w:t>bankowego, o którym mowa w art. 13m ust. 5 pkt 2, po upływie 5 lat od dnia</w:t>
            </w:r>
            <w:r>
              <w:rPr>
                <w:rFonts w:ascii="Times New Roman" w:hAnsi="Times New Roman" w:cs="Times New Roman"/>
              </w:rPr>
              <w:t xml:space="preserve"> doręczenia decyzji </w:t>
            </w:r>
            <w:r w:rsidRPr="00FA5334">
              <w:rPr>
                <w:rFonts w:ascii="Times New Roman" w:hAnsi="Times New Roman" w:cs="Times New Roman"/>
              </w:rPr>
              <w:t>o umorzeniu postępowania, stwierdzenia nieważności decy</w:t>
            </w:r>
            <w:r>
              <w:rPr>
                <w:rFonts w:ascii="Times New Roman" w:hAnsi="Times New Roman" w:cs="Times New Roman"/>
              </w:rPr>
              <w:t xml:space="preserve">zji o nałożeniu kary pieniężnej </w:t>
            </w:r>
            <w:r w:rsidRPr="00FA5334">
              <w:rPr>
                <w:rFonts w:ascii="Times New Roman" w:hAnsi="Times New Roman" w:cs="Times New Roman"/>
              </w:rPr>
              <w:t>albo w przypadku, o którym mowa w art. 13n, staje się dochodem Skarbu Państwa.”.</w:t>
            </w:r>
          </w:p>
          <w:p w:rsidR="00DC63F0" w:rsidRPr="005872A5" w:rsidRDefault="00FA5334" w:rsidP="00FA5334">
            <w:pPr>
              <w:jc w:val="both"/>
              <w:rPr>
                <w:rFonts w:ascii="Times New Roman" w:hAnsi="Times New Roman" w:cs="Times New Roman"/>
              </w:rPr>
            </w:pPr>
            <w:r w:rsidRPr="00FA5334">
              <w:rPr>
                <w:rFonts w:ascii="Times New Roman" w:hAnsi="Times New Roman" w:cs="Times New Roman"/>
              </w:rPr>
              <w:t xml:space="preserve">Powyższa propozycja ma na celu uregulowanie sytuacji, w której brak </w:t>
            </w:r>
            <w:r>
              <w:rPr>
                <w:rFonts w:ascii="Times New Roman" w:hAnsi="Times New Roman" w:cs="Times New Roman"/>
              </w:rPr>
              <w:t xml:space="preserve">jest możliwości </w:t>
            </w:r>
            <w:r w:rsidRPr="00FA5334">
              <w:rPr>
                <w:rFonts w:ascii="Times New Roman" w:hAnsi="Times New Roman" w:cs="Times New Roman"/>
              </w:rPr>
              <w:t>dokonania zwrotu kaucji na rachunek bankowy podmiotu,</w:t>
            </w:r>
            <w:r>
              <w:rPr>
                <w:rFonts w:ascii="Times New Roman" w:hAnsi="Times New Roman" w:cs="Times New Roman"/>
              </w:rPr>
              <w:t xml:space="preserve"> który ją wpłacił ze względu na </w:t>
            </w:r>
            <w:r w:rsidRPr="00FA5334">
              <w:rPr>
                <w:rFonts w:ascii="Times New Roman" w:hAnsi="Times New Roman" w:cs="Times New Roman"/>
              </w:rPr>
              <w:t>nieznajomość numeru rachunku tego podmiotu. W powyższy</w:t>
            </w:r>
            <w:r>
              <w:rPr>
                <w:rFonts w:ascii="Times New Roman" w:hAnsi="Times New Roman" w:cs="Times New Roman"/>
              </w:rPr>
              <w:t xml:space="preserve">m przypadku kaucje te staną się </w:t>
            </w:r>
            <w:r w:rsidRPr="00FA5334">
              <w:rPr>
                <w:rFonts w:ascii="Times New Roman" w:hAnsi="Times New Roman" w:cs="Times New Roman"/>
              </w:rPr>
              <w:t xml:space="preserve">dochodem Skarbu Państwa, co pozwoli na uniknięcie sytuacji, w której </w:t>
            </w:r>
            <w:r>
              <w:rPr>
                <w:rFonts w:ascii="Times New Roman" w:hAnsi="Times New Roman" w:cs="Times New Roman"/>
              </w:rPr>
              <w:t xml:space="preserve">kwoty z tych kaucji będą </w:t>
            </w:r>
            <w:r w:rsidRPr="00FA5334">
              <w:rPr>
                <w:rFonts w:ascii="Times New Roman" w:hAnsi="Times New Roman" w:cs="Times New Roman"/>
              </w:rPr>
              <w:t>znajdowały się na rachunku bez możliwości ich zadysponowania.</w:t>
            </w:r>
          </w:p>
        </w:tc>
        <w:tc>
          <w:tcPr>
            <w:tcW w:w="4785" w:type="dxa"/>
            <w:shd w:val="clear" w:color="auto" w:fill="auto"/>
          </w:tcPr>
          <w:p w:rsidR="003C6752" w:rsidRDefault="003C6752" w:rsidP="00672C60">
            <w:pPr>
              <w:rPr>
                <w:rFonts w:ascii="Times New Roman" w:hAnsi="Times New Roman" w:cs="Times New Roman"/>
              </w:rPr>
            </w:pPr>
            <w:r>
              <w:rPr>
                <w:rFonts w:ascii="Times New Roman" w:hAnsi="Times New Roman" w:cs="Times New Roman"/>
              </w:rPr>
              <w:t xml:space="preserve">Uwaga </w:t>
            </w:r>
            <w:r w:rsidR="0004098A">
              <w:rPr>
                <w:rFonts w:ascii="Times New Roman" w:hAnsi="Times New Roman" w:cs="Times New Roman"/>
              </w:rPr>
              <w:t>wyjaśni</w:t>
            </w:r>
            <w:r>
              <w:rPr>
                <w:rFonts w:ascii="Times New Roman" w:hAnsi="Times New Roman" w:cs="Times New Roman"/>
              </w:rPr>
              <w:t>ona.</w:t>
            </w:r>
          </w:p>
          <w:p w:rsidR="003C6752" w:rsidRPr="005872A5" w:rsidRDefault="003C6752" w:rsidP="00672C60">
            <w:pPr>
              <w:rPr>
                <w:rFonts w:ascii="Times New Roman" w:hAnsi="Times New Roman" w:cs="Times New Roman"/>
              </w:rPr>
            </w:pPr>
            <w:r>
              <w:rPr>
                <w:rFonts w:ascii="Times New Roman" w:hAnsi="Times New Roman" w:cs="Times New Roman"/>
              </w:rPr>
              <w:t>P</w:t>
            </w:r>
            <w:r w:rsidRPr="003C6752">
              <w:rPr>
                <w:rFonts w:ascii="Times New Roman" w:hAnsi="Times New Roman" w:cs="Times New Roman"/>
              </w:rPr>
              <w:t>roponowana regulacja wykracza poza zakres wdrożenia dyrektywy 2019/520</w:t>
            </w:r>
            <w:r>
              <w:rPr>
                <w:rFonts w:ascii="Times New Roman" w:hAnsi="Times New Roman" w:cs="Times New Roman"/>
              </w:rPr>
              <w:t>.</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B77D5B" w:rsidP="00672C60">
            <w:pPr>
              <w:rPr>
                <w:rFonts w:ascii="Times New Roman" w:hAnsi="Times New Roman" w:cs="Times New Roman"/>
              </w:rPr>
            </w:pPr>
            <w:r>
              <w:rPr>
                <w:rFonts w:ascii="Times New Roman" w:hAnsi="Times New Roman" w:cs="Times New Roman"/>
              </w:rPr>
              <w:t>PGRP</w:t>
            </w:r>
          </w:p>
        </w:tc>
        <w:tc>
          <w:tcPr>
            <w:tcW w:w="1134" w:type="dxa"/>
            <w:shd w:val="clear" w:color="auto" w:fill="auto"/>
          </w:tcPr>
          <w:p w:rsidR="00DC63F0" w:rsidRPr="005872A5" w:rsidRDefault="00B77D5B" w:rsidP="00672C60">
            <w:pPr>
              <w:rPr>
                <w:rFonts w:ascii="Times New Roman" w:hAnsi="Times New Roman" w:cs="Times New Roman"/>
              </w:rPr>
            </w:pPr>
            <w:r>
              <w:rPr>
                <w:rFonts w:ascii="Times New Roman" w:hAnsi="Times New Roman" w:cs="Times New Roman"/>
              </w:rPr>
              <w:t>Art. 1 pkt 3 lit. c</w:t>
            </w:r>
          </w:p>
        </w:tc>
        <w:tc>
          <w:tcPr>
            <w:tcW w:w="6663" w:type="dxa"/>
            <w:shd w:val="clear" w:color="auto" w:fill="auto"/>
          </w:tcPr>
          <w:p w:rsidR="00DC63F0" w:rsidRPr="005872A5" w:rsidRDefault="00B77D5B" w:rsidP="00672C60">
            <w:pPr>
              <w:jc w:val="both"/>
              <w:rPr>
                <w:rFonts w:ascii="Times New Roman" w:hAnsi="Times New Roman" w:cs="Times New Roman"/>
              </w:rPr>
            </w:pPr>
            <w:r w:rsidRPr="00B77D5B">
              <w:rPr>
                <w:rFonts w:ascii="Times New Roman" w:hAnsi="Times New Roman" w:cs="Times New Roman"/>
              </w:rPr>
              <w:t xml:space="preserve">Proponujemy usunięcie art. 1 pkt 3 lit. c zdanie 2 Projektu, zawierającego postanowienie, zgodnie z którym „Skarb Państwa nie ponosi odpowiedzialności za zobowiązania dostawców EETS ani za szkodę wywołaną działaniem lub zaniechaniem dostawcy EETS”. Naszym zdaniem takie sformułowanie nie tylko jest zbędne, ale ponadto może nasuwać wątpliwości interpretacyjne. Ukształtowanie roli dostawcy europejskiej usługi opłaty elektronicznej (European Electronic Toll Service, ETTS) w przepisach tego projektu nie daje bowiem podstaw dla przyjęcia, że za ich działania mógłby odpowiadać Skarb Państwa. Przede wszystkim brak odpowiedzialności Skarbu Państwa wynika już z faktu, że dostawca EETS działa we własnym imieniu i na własny rachunek (zdanie 1 powołanej jednostki redakcyjnej). Należy również podkreślić, że status dostawcy EETS, ukształtowany w art. 1 pkt 1 lit. c, art. 1 pkt 9 lit. a i art. 1 pkt 12 Projektu, jak również definicja ustawowa usługi EETS </w:t>
            </w:r>
            <w:r w:rsidRPr="00B77D5B">
              <w:rPr>
                <w:rFonts w:ascii="Times New Roman" w:hAnsi="Times New Roman" w:cs="Times New Roman"/>
              </w:rPr>
              <w:lastRenderedPageBreak/>
              <w:t>zawarta w art. 4 pkt 41 ustawy o drogach publicznych nie dają podstaw do przyjęcia, że dostawcy ETS powierzono pełnienie czynności z zakresu władzy publicznej. Wobec tego, zamieszczenie przepisu wprost wyłączającego odpowiedzialność Skarbu Państwa za działania dostawcy EETS mogłoby być podstawą formułowania zarzutu nieuzasadnionego ograniczenia drogi sądowej. W związku z powyższym za pożądane należy uznać usunięcie tego przepisu.</w:t>
            </w:r>
          </w:p>
        </w:tc>
        <w:tc>
          <w:tcPr>
            <w:tcW w:w="4785" w:type="dxa"/>
            <w:shd w:val="clear" w:color="auto" w:fill="auto"/>
          </w:tcPr>
          <w:p w:rsidR="00DC63F0" w:rsidRDefault="003C6752" w:rsidP="00672C60">
            <w:pPr>
              <w:rPr>
                <w:rFonts w:ascii="Times New Roman" w:hAnsi="Times New Roman" w:cs="Times New Roman"/>
              </w:rPr>
            </w:pPr>
            <w:r>
              <w:rPr>
                <w:rFonts w:ascii="Times New Roman" w:hAnsi="Times New Roman" w:cs="Times New Roman"/>
              </w:rPr>
              <w:lastRenderedPageBreak/>
              <w:t>Uwaga uwzględniona.</w:t>
            </w:r>
          </w:p>
          <w:p w:rsidR="003C6752" w:rsidRPr="005872A5" w:rsidRDefault="003C6752" w:rsidP="003C6752">
            <w:pPr>
              <w:rPr>
                <w:rFonts w:ascii="Times New Roman" w:hAnsi="Times New Roman" w:cs="Times New Roman"/>
              </w:rPr>
            </w:pPr>
            <w:r>
              <w:rPr>
                <w:rFonts w:ascii="Times New Roman" w:hAnsi="Times New Roman" w:cs="Times New Roman"/>
              </w:rPr>
              <w:t xml:space="preserve">Usunięto </w:t>
            </w:r>
            <w:r w:rsidRPr="003C6752">
              <w:rPr>
                <w:rFonts w:ascii="Times New Roman" w:hAnsi="Times New Roman" w:cs="Times New Roman"/>
              </w:rPr>
              <w:t xml:space="preserve">art. 1 pkt 3 lit. c </w:t>
            </w:r>
            <w:r>
              <w:rPr>
                <w:rFonts w:ascii="Times New Roman" w:hAnsi="Times New Roman" w:cs="Times New Roman"/>
              </w:rPr>
              <w:t>zd. 2 projektowanej ustawy.</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B77D5B" w:rsidP="00672C60">
            <w:pPr>
              <w:rPr>
                <w:rFonts w:ascii="Times New Roman" w:hAnsi="Times New Roman" w:cs="Times New Roman"/>
              </w:rPr>
            </w:pPr>
            <w:r>
              <w:rPr>
                <w:rFonts w:ascii="Times New Roman" w:hAnsi="Times New Roman" w:cs="Times New Roman"/>
              </w:rPr>
              <w:t>PGRP</w:t>
            </w:r>
          </w:p>
        </w:tc>
        <w:tc>
          <w:tcPr>
            <w:tcW w:w="1134" w:type="dxa"/>
            <w:shd w:val="clear" w:color="auto" w:fill="auto"/>
          </w:tcPr>
          <w:p w:rsidR="00DC63F0" w:rsidRPr="005872A5" w:rsidRDefault="00B77D5B" w:rsidP="00672C60">
            <w:pPr>
              <w:rPr>
                <w:rFonts w:ascii="Times New Roman" w:hAnsi="Times New Roman" w:cs="Times New Roman"/>
              </w:rPr>
            </w:pPr>
            <w:r>
              <w:rPr>
                <w:rFonts w:ascii="Times New Roman" w:hAnsi="Times New Roman" w:cs="Times New Roman"/>
              </w:rPr>
              <w:t>Art. 1 pkt 9 lit. b</w:t>
            </w:r>
          </w:p>
        </w:tc>
        <w:tc>
          <w:tcPr>
            <w:tcW w:w="6663" w:type="dxa"/>
            <w:shd w:val="clear" w:color="auto" w:fill="auto"/>
          </w:tcPr>
          <w:p w:rsidR="00DC63F0" w:rsidRPr="005872A5" w:rsidRDefault="00B77D5B" w:rsidP="00672C60">
            <w:pPr>
              <w:jc w:val="both"/>
              <w:rPr>
                <w:rFonts w:ascii="Times New Roman" w:hAnsi="Times New Roman" w:cs="Times New Roman"/>
              </w:rPr>
            </w:pPr>
            <w:r w:rsidRPr="00B77D5B">
              <w:rPr>
                <w:rFonts w:ascii="Times New Roman" w:hAnsi="Times New Roman" w:cs="Times New Roman"/>
              </w:rPr>
              <w:t>Proponujemy również zmianę treści art. 1 pkt. 9 lit. b Projektu przez dodanie ust. 2b, przewidującego wymóg „posiadania dobrej reputacji”. W projektowanym brzmieniu przepisy nie implementują dyrektywy w sposób kompletny. Zgodnie z art. 4 lit. f Dyrektywy konieczne jest wykazanie, że podmiot ubiegający się o rejestrację jako dostawca EETS musi wykazać się posiadaniem dobrej reputacji. Poprawna implementacja dyrektywy wymaga tym samym transpozycji również tego wymogu do prawa krajowego.</w:t>
            </w:r>
          </w:p>
        </w:tc>
        <w:tc>
          <w:tcPr>
            <w:tcW w:w="4785" w:type="dxa"/>
            <w:shd w:val="clear" w:color="auto" w:fill="auto"/>
          </w:tcPr>
          <w:p w:rsidR="00DC63F0" w:rsidRDefault="0004098A" w:rsidP="00672C60">
            <w:pPr>
              <w:rPr>
                <w:rFonts w:ascii="Times New Roman" w:hAnsi="Times New Roman" w:cs="Times New Roman"/>
              </w:rPr>
            </w:pPr>
            <w:r>
              <w:rPr>
                <w:rFonts w:ascii="Times New Roman" w:hAnsi="Times New Roman" w:cs="Times New Roman"/>
              </w:rPr>
              <w:t>Uwaga wyjaśniona</w:t>
            </w:r>
            <w:r w:rsidR="003C6752">
              <w:rPr>
                <w:rFonts w:ascii="Times New Roman" w:hAnsi="Times New Roman" w:cs="Times New Roman"/>
              </w:rPr>
              <w:t>.</w:t>
            </w:r>
          </w:p>
          <w:p w:rsidR="003C6752" w:rsidRPr="005872A5" w:rsidRDefault="003C6752" w:rsidP="0004098A">
            <w:pPr>
              <w:jc w:val="both"/>
              <w:rPr>
                <w:rFonts w:ascii="Times New Roman" w:hAnsi="Times New Roman" w:cs="Times New Roman"/>
              </w:rPr>
            </w:pPr>
            <w:r>
              <w:rPr>
                <w:rFonts w:ascii="Times New Roman" w:hAnsi="Times New Roman" w:cs="Times New Roman"/>
              </w:rPr>
              <w:t>W opinii MI</w:t>
            </w:r>
            <w:r w:rsidRPr="003C6752">
              <w:rPr>
                <w:rFonts w:ascii="Times New Roman" w:hAnsi="Times New Roman" w:cs="Times New Roman"/>
              </w:rPr>
              <w:t xml:space="preserve"> nie ma konieczności doprecyzowania co oznacza dobra reputacja. Wymóg posiadania dobrej reputacji został wdrożony w obowiązującym art. 16e ust. 2 pkt 5 ustawy o drogach publicznych.</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B77D5B" w:rsidP="00672C60">
            <w:pPr>
              <w:rPr>
                <w:rFonts w:ascii="Times New Roman" w:hAnsi="Times New Roman" w:cs="Times New Roman"/>
              </w:rPr>
            </w:pPr>
            <w:r>
              <w:rPr>
                <w:rFonts w:ascii="Times New Roman" w:hAnsi="Times New Roman" w:cs="Times New Roman"/>
              </w:rPr>
              <w:t>PGRP</w:t>
            </w:r>
          </w:p>
        </w:tc>
        <w:tc>
          <w:tcPr>
            <w:tcW w:w="1134" w:type="dxa"/>
            <w:shd w:val="clear" w:color="auto" w:fill="auto"/>
          </w:tcPr>
          <w:p w:rsidR="00DC63F0" w:rsidRPr="005872A5" w:rsidRDefault="00B77D5B" w:rsidP="00672C60">
            <w:pPr>
              <w:rPr>
                <w:rFonts w:ascii="Times New Roman" w:hAnsi="Times New Roman" w:cs="Times New Roman"/>
              </w:rPr>
            </w:pPr>
            <w:r>
              <w:rPr>
                <w:rFonts w:ascii="Times New Roman" w:hAnsi="Times New Roman" w:cs="Times New Roman"/>
              </w:rPr>
              <w:t>Art. 1 pkt 13 lit. c</w:t>
            </w:r>
          </w:p>
        </w:tc>
        <w:tc>
          <w:tcPr>
            <w:tcW w:w="6663" w:type="dxa"/>
            <w:shd w:val="clear" w:color="auto" w:fill="auto"/>
          </w:tcPr>
          <w:p w:rsidR="00B77D5B" w:rsidRPr="00B77D5B" w:rsidRDefault="00B77D5B" w:rsidP="00B77D5B">
            <w:pPr>
              <w:jc w:val="both"/>
              <w:rPr>
                <w:rFonts w:ascii="Times New Roman" w:hAnsi="Times New Roman" w:cs="Times New Roman"/>
              </w:rPr>
            </w:pPr>
            <w:r w:rsidRPr="00B77D5B">
              <w:rPr>
                <w:rFonts w:ascii="Times New Roman" w:hAnsi="Times New Roman" w:cs="Times New Roman"/>
              </w:rPr>
              <w:t>Proponujemy zmianę treści art. 11 pkt 13 lit. c przez nadanie mu następującego brzmienia: „8. Do przetwarzania przez krajowe podmioty pobierające opłaty na obszarach EETS danych osobowych uzyskanych od dostawców EETS na podstawie ust. 1 pkt 2a i 4, w zakresie nieobjętym zastosowaniem Rozporządzenia Parlamentu Europejskiego i Rady (UE) 2016/679 z dnia 27 kwietnia 2016 r. w sprawie ochrony osób fizycznych w związku z przetwarzaniem danych osobowych i w sprawie swobodnego przepływu takich danych oraz uchylenia dyrektywy 95/46/WE przepisy art. 1741-art. 174d ustawy z dnia 16 lipca 2004 r. - Prawo telekomunikacyjne stosuje się odpowiednio”. Wprowadzenie proponowanej zmiany pozwoli uniknąć ewentualnych wątpliwości wykładniczych co do zakresu stosowania wspomnianego rozporządzenia. Brzmienie przepisu w przesłanej wersji projektu, niezawierające odwołania do wspomnianego rozporządzenia, mogłoby bowiem błędnie sugerować wprowadzenie przez ten akt szczególnych regulacji w zakresie ochrony danych osobowych.</w:t>
            </w:r>
          </w:p>
          <w:p w:rsidR="00DC63F0" w:rsidRPr="005872A5" w:rsidRDefault="00B77D5B" w:rsidP="00B77D5B">
            <w:pPr>
              <w:jc w:val="both"/>
              <w:rPr>
                <w:rFonts w:ascii="Times New Roman" w:hAnsi="Times New Roman" w:cs="Times New Roman"/>
              </w:rPr>
            </w:pPr>
            <w:r w:rsidRPr="00B77D5B">
              <w:rPr>
                <w:rFonts w:ascii="Times New Roman" w:hAnsi="Times New Roman" w:cs="Times New Roman"/>
              </w:rPr>
              <w:t xml:space="preserve">Analogiczną uwagę należy odnieść do art. 1 pkt 7, który z kolei powinien uzyskać brzmienie: „7. Do przetwarzania danych osobowych w ramach transgranicznej wymiany informacji w zakresie nieobjętym zastosowaniem Rozporządzenia Parlamentu Europejskiego i Rady (UE) </w:t>
            </w:r>
            <w:r w:rsidRPr="00B77D5B">
              <w:rPr>
                <w:rFonts w:ascii="Times New Roman" w:hAnsi="Times New Roman" w:cs="Times New Roman"/>
              </w:rPr>
              <w:lastRenderedPageBreak/>
              <w:t>2016/679 z dnia 27 kwietnia 2016 r. w sprawie ochrony osób fizycznych w związku z przetwarzaniem danych osobowych i w sprawie swobodnego przepływu takich danych oraz uchylenia dyrektywy 95/46/WE przepisy art. 174a-art. 174d ustawy z dnia 16 lipca 2004 r. - Prawo telekomunikacyjne stosuje się odpowiednio.”</w:t>
            </w:r>
          </w:p>
        </w:tc>
        <w:tc>
          <w:tcPr>
            <w:tcW w:w="4785" w:type="dxa"/>
            <w:shd w:val="clear" w:color="auto" w:fill="auto"/>
          </w:tcPr>
          <w:p w:rsidR="00DC63F0" w:rsidRDefault="0060619A" w:rsidP="00672C60">
            <w:pPr>
              <w:rPr>
                <w:rFonts w:ascii="Times New Roman" w:hAnsi="Times New Roman" w:cs="Times New Roman"/>
              </w:rPr>
            </w:pPr>
            <w:r>
              <w:rPr>
                <w:rFonts w:ascii="Times New Roman" w:hAnsi="Times New Roman" w:cs="Times New Roman"/>
              </w:rPr>
              <w:lastRenderedPageBreak/>
              <w:t xml:space="preserve">Uwaga </w:t>
            </w:r>
            <w:r w:rsidR="0004098A">
              <w:rPr>
                <w:rFonts w:ascii="Times New Roman" w:hAnsi="Times New Roman" w:cs="Times New Roman"/>
              </w:rPr>
              <w:t>wyjaśn</w:t>
            </w:r>
            <w:r>
              <w:rPr>
                <w:rFonts w:ascii="Times New Roman" w:hAnsi="Times New Roman" w:cs="Times New Roman"/>
              </w:rPr>
              <w:t>iona.</w:t>
            </w:r>
          </w:p>
          <w:p w:rsidR="0060619A" w:rsidRPr="005872A5" w:rsidRDefault="0060619A" w:rsidP="0004098A">
            <w:pPr>
              <w:jc w:val="both"/>
              <w:rPr>
                <w:rFonts w:ascii="Times New Roman" w:hAnsi="Times New Roman" w:cs="Times New Roman"/>
              </w:rPr>
            </w:pPr>
            <w:r>
              <w:rPr>
                <w:rFonts w:ascii="Times New Roman" w:hAnsi="Times New Roman" w:cs="Times New Roman"/>
              </w:rPr>
              <w:t>Zmieniono brzmienie</w:t>
            </w:r>
            <w:r w:rsidRPr="0060619A">
              <w:rPr>
                <w:rFonts w:ascii="Times New Roman" w:hAnsi="Times New Roman" w:cs="Times New Roman"/>
              </w:rPr>
              <w:t xml:space="preserve"> art. 1 pkt 8 w zakresie art. 13me oraz art. 1 pkt 13 lit. c w zakresie art. 16i. Projekt został zmieniony zgodnie z przekazaną propozycją. Dodatkowo analogicznie zmieniono art. 1 pkt 16 lit. h w zakresie projektowanego art. 16l ust. 9 ustawy o drogach publicznych.</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B77D5B" w:rsidP="00672C60">
            <w:pPr>
              <w:rPr>
                <w:rFonts w:ascii="Times New Roman" w:hAnsi="Times New Roman" w:cs="Times New Roman"/>
              </w:rPr>
            </w:pPr>
            <w:r>
              <w:rPr>
                <w:rFonts w:ascii="Times New Roman" w:hAnsi="Times New Roman" w:cs="Times New Roman"/>
              </w:rPr>
              <w:t>PGRP</w:t>
            </w:r>
          </w:p>
        </w:tc>
        <w:tc>
          <w:tcPr>
            <w:tcW w:w="1134" w:type="dxa"/>
            <w:shd w:val="clear" w:color="auto" w:fill="auto"/>
          </w:tcPr>
          <w:p w:rsidR="00DC63F0" w:rsidRPr="005872A5" w:rsidRDefault="00B77D5B" w:rsidP="00672C60">
            <w:pPr>
              <w:rPr>
                <w:rFonts w:ascii="Times New Roman" w:hAnsi="Times New Roman" w:cs="Times New Roman"/>
              </w:rPr>
            </w:pPr>
            <w:r>
              <w:rPr>
                <w:rFonts w:ascii="Times New Roman" w:hAnsi="Times New Roman" w:cs="Times New Roman"/>
              </w:rPr>
              <w:t>Art. 1 pkt 13 lit. a</w:t>
            </w:r>
          </w:p>
        </w:tc>
        <w:tc>
          <w:tcPr>
            <w:tcW w:w="6663" w:type="dxa"/>
            <w:shd w:val="clear" w:color="auto" w:fill="auto"/>
          </w:tcPr>
          <w:p w:rsidR="00DC63F0" w:rsidRPr="005872A5" w:rsidRDefault="00B77D5B" w:rsidP="00672C60">
            <w:pPr>
              <w:jc w:val="both"/>
              <w:rPr>
                <w:rFonts w:ascii="Times New Roman" w:hAnsi="Times New Roman" w:cs="Times New Roman"/>
              </w:rPr>
            </w:pPr>
            <w:r w:rsidRPr="00B77D5B">
              <w:rPr>
                <w:rFonts w:ascii="Times New Roman" w:hAnsi="Times New Roman" w:cs="Times New Roman"/>
              </w:rPr>
              <w:t>Proponujemy zmianę treści art. 1 pkt 13 lit. a Projektu przez dodanie pkt. 6d w brzmieniu: „Podczas zawierania umowy użytkownicy EETS muszą być należycie informowani o obowiązujących sposobach płatności oraz o przetwarzaniu ich danych osobowych i o prawach wynikających z obowiązujących przepisów dotyczących ochrony danych osobowych.” Akt w proponowanym brzmieniu nie transponuje art. 10 ust. 1 Dyrektywy w zakresie obowiązków informacyjnych wobec użytkowników EETS. Zaproponowana zmiana, w znacznym zakresie powtarzająca sformułowania zawarte w dyrektywie, pozwoli na jej pełniejszą transpozycję.</w:t>
            </w:r>
          </w:p>
        </w:tc>
        <w:tc>
          <w:tcPr>
            <w:tcW w:w="4785" w:type="dxa"/>
            <w:shd w:val="clear" w:color="auto" w:fill="auto"/>
          </w:tcPr>
          <w:p w:rsidR="0060619A" w:rsidRDefault="0060619A" w:rsidP="00672C60">
            <w:pPr>
              <w:rPr>
                <w:rFonts w:ascii="Times New Roman" w:hAnsi="Times New Roman" w:cs="Times New Roman"/>
              </w:rPr>
            </w:pPr>
            <w:r>
              <w:rPr>
                <w:rFonts w:ascii="Times New Roman" w:hAnsi="Times New Roman" w:cs="Times New Roman"/>
              </w:rPr>
              <w:t xml:space="preserve">Uwaga </w:t>
            </w:r>
            <w:r w:rsidR="0004098A">
              <w:rPr>
                <w:rFonts w:ascii="Times New Roman" w:hAnsi="Times New Roman" w:cs="Times New Roman"/>
              </w:rPr>
              <w:t>wyjaś</w:t>
            </w:r>
            <w:r>
              <w:rPr>
                <w:rFonts w:ascii="Times New Roman" w:hAnsi="Times New Roman" w:cs="Times New Roman"/>
              </w:rPr>
              <w:t>niona.</w:t>
            </w:r>
          </w:p>
          <w:p w:rsidR="00DC63F0" w:rsidRPr="005872A5" w:rsidRDefault="0060619A" w:rsidP="0004098A">
            <w:pPr>
              <w:jc w:val="both"/>
              <w:rPr>
                <w:rFonts w:ascii="Times New Roman" w:hAnsi="Times New Roman" w:cs="Times New Roman"/>
              </w:rPr>
            </w:pPr>
            <w:r>
              <w:rPr>
                <w:rFonts w:ascii="Times New Roman" w:hAnsi="Times New Roman" w:cs="Times New Roman"/>
              </w:rPr>
              <w:t>Z</w:t>
            </w:r>
            <w:r w:rsidRPr="0060619A">
              <w:rPr>
                <w:rFonts w:ascii="Times New Roman" w:hAnsi="Times New Roman" w:cs="Times New Roman"/>
              </w:rPr>
              <w:t xml:space="preserve">godnie z projektowanym art. 16la ust. 2 pkt. 3 ustawy o drogach publicznych umowa dotycząca świadczenia usług EETS określa m.in. sposób i termin uiszczania kwoty odpowiadającej opłacie, o której mowa w art. 13 ust. 1 pkt 3 i ust. 2 ustawy o drogach publicznych oraz opłaty za przejazd autostradą. Należy przyjąć, że użytkownik EETS podpisując umowę dotyczącą świadczenia usług EETS zapoznał się z warunkami tej umowy wobec czego obowiązek informacyjny dostawcy EETS zostanie spełniony. Należy zauważyć, że rozporządzenie Parlamentu Europejskiego i Rady (UE) 2016/679 z dnia 27 kwietnia 2016 r. w sprawie ochrony osób fizycznych w związku z przetwarzaniem danych osobowych i w sprawie ochrony osób fizycznych w związku z przetwarzaniem danych osobowych i w sprawie swobodnego przepływu takich danych oraz uchylenia dyrektywy 95/46/WE jest stosowane bezpośrednio, wobec czego dostawca EETS ma obowiązek stosowania tych przepisów jako administrator danych osobowych użytkowników EETS. W związku z tym, w opinii </w:t>
            </w:r>
            <w:r>
              <w:rPr>
                <w:rFonts w:ascii="Times New Roman" w:hAnsi="Times New Roman" w:cs="Times New Roman"/>
              </w:rPr>
              <w:t>MI</w:t>
            </w:r>
            <w:r w:rsidRPr="0060619A">
              <w:rPr>
                <w:rFonts w:ascii="Times New Roman" w:hAnsi="Times New Roman" w:cs="Times New Roman"/>
              </w:rPr>
              <w:t>, uszczegółowianie obowiązków, które wynikają z mocy obowiązujących przepisów wydaje się nadmiarowe.</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B77D5B" w:rsidP="00672C60">
            <w:pPr>
              <w:rPr>
                <w:rFonts w:ascii="Times New Roman" w:hAnsi="Times New Roman" w:cs="Times New Roman"/>
              </w:rPr>
            </w:pPr>
            <w:r>
              <w:rPr>
                <w:rFonts w:ascii="Times New Roman" w:hAnsi="Times New Roman" w:cs="Times New Roman"/>
              </w:rPr>
              <w:t>PGRP</w:t>
            </w: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Art. 1 pkt 35 lit. e</w:t>
            </w:r>
          </w:p>
        </w:tc>
        <w:tc>
          <w:tcPr>
            <w:tcW w:w="6663" w:type="dxa"/>
            <w:shd w:val="clear" w:color="auto" w:fill="auto"/>
          </w:tcPr>
          <w:p w:rsidR="00DC63F0" w:rsidRPr="005872A5" w:rsidRDefault="00834063" w:rsidP="00672C60">
            <w:pPr>
              <w:jc w:val="both"/>
              <w:rPr>
                <w:rFonts w:ascii="Times New Roman" w:hAnsi="Times New Roman" w:cs="Times New Roman"/>
              </w:rPr>
            </w:pPr>
            <w:r w:rsidRPr="00834063">
              <w:rPr>
                <w:rFonts w:ascii="Times New Roman" w:hAnsi="Times New Roman" w:cs="Times New Roman"/>
              </w:rPr>
              <w:t xml:space="preserve">Pożądane jest usunięcie w art. 1 pkt 35 lit. e Projektu proponowanego ust. 5 o treści „Nie można odmówić udzielenia informacji, o których mowa w ust. 4, ze względu na zastrzeżenie tajemnicy przedsiębiorstwa”. Naszym </w:t>
            </w:r>
            <w:r w:rsidRPr="00834063">
              <w:rPr>
                <w:rFonts w:ascii="Times New Roman" w:hAnsi="Times New Roman" w:cs="Times New Roman"/>
              </w:rPr>
              <w:lastRenderedPageBreak/>
              <w:t>zdaniem wskazane jest usunięcie  w art. 1 pkt 35 lit. e Projektu proponowanego ust. 5 nadającego niezależnej Komisji powoływanej do wydawania opinii w sprawie sporów związanych z usługą EETS („Komisji”) funkcjonującej jako organ pojednawczy w rozumieniu art. 11 Dyrektywy, kompetencję do nakazywania ujawnienia informacji objętych tajemnicą przedsiębiorstwa. Przede wszystkim wprowadzenie tego przepisu nie jest konieczne dla prawidłowej implementacji Dyrektywy. Należy ponadto zwrócić uwagę, na jego problematyczny charakter. Nadaje on bowiem Komisji uprawnienie do władczej ingerencji w sferę uprawnień jednostek bez jakiejkolwiek kontroli sądowej. Co więcej, niespełnienie nałożonego przez Komisję obowiązku ujawnienia informacji objętych tajemnicą przedsiębiorstwa może być podstawą obciążenia kosztami postępowania (art. 16zd ust. 9 i 10 ustawy o drogach publicznych), co następuje w drodze niezaskarżalnej uchwały. Tym samym uczestnik postępowania przed Komisją nie mógłby skorzystać ze środków ochrony prawnej przed niezależnym sądem. Faktyczne pozbawienie jednostki drogi sądowej, nawet w stosunkowo wąskim zakresie, budzi istotne wątpliwości nie tylko w świetle Konstytucji (art. 77 ust. 2) i Europejskiej Konwencji Praw Człowieka (art. 6 ust. 1), ale także Karty Praw Podstawowych UE (art. 47). Tym samym w obecnym kształcie omawiany przepis może w istocie prowadzić do wadliwej implementacji dyrektywy. W tym miejscu należy zaznaczyć, że powyższa wątpliwość odnosi się do obecnie obowiązujących przepisów ustawy o drogach publicznych. Zgodnie z art. 16ze ustawy o drogach publicznych uchwała Komisji o kosztach postępowania podlega egzekucji przez nadanie jej klauzuli wykonalności i nie przysługują od niej żadne środki odwoławcze. Tym samym uczestnik postępowania – również w tym zakresie – jest pozbawiony prawa odwołania się do sądu od rozstrzygnięcia bezpośrednio ingerującego w jego uprawnienia majątkowe.</w:t>
            </w:r>
          </w:p>
        </w:tc>
        <w:tc>
          <w:tcPr>
            <w:tcW w:w="4785" w:type="dxa"/>
            <w:shd w:val="clear" w:color="auto" w:fill="auto"/>
          </w:tcPr>
          <w:p w:rsidR="00DC63F0" w:rsidRDefault="0060619A" w:rsidP="00672C60">
            <w:pPr>
              <w:rPr>
                <w:rFonts w:ascii="Times New Roman" w:hAnsi="Times New Roman" w:cs="Times New Roman"/>
              </w:rPr>
            </w:pPr>
            <w:r>
              <w:rPr>
                <w:rFonts w:ascii="Times New Roman" w:hAnsi="Times New Roman" w:cs="Times New Roman"/>
              </w:rPr>
              <w:lastRenderedPageBreak/>
              <w:t>Uwaga uwzględniona.</w:t>
            </w:r>
          </w:p>
          <w:p w:rsidR="0060619A" w:rsidRDefault="0060619A" w:rsidP="0004098A">
            <w:pPr>
              <w:jc w:val="both"/>
              <w:rPr>
                <w:rFonts w:ascii="Times New Roman" w:hAnsi="Times New Roman" w:cs="Times New Roman"/>
              </w:rPr>
            </w:pPr>
            <w:r>
              <w:rPr>
                <w:rFonts w:ascii="Times New Roman" w:hAnsi="Times New Roman" w:cs="Times New Roman"/>
              </w:rPr>
              <w:t>Przepis usunięto, p</w:t>
            </w:r>
            <w:r w:rsidRPr="0060619A">
              <w:rPr>
                <w:rFonts w:ascii="Times New Roman" w:hAnsi="Times New Roman" w:cs="Times New Roman"/>
              </w:rPr>
              <w:t xml:space="preserve">rzy czym zgodnie z art. 11 ust. 2 organ pojednawczy jest uprawniony w </w:t>
            </w:r>
            <w:r w:rsidRPr="0060619A">
              <w:rPr>
                <w:rFonts w:ascii="Times New Roman" w:hAnsi="Times New Roman" w:cs="Times New Roman"/>
              </w:rPr>
              <w:lastRenderedPageBreak/>
              <w:t>szczególności do sprawdzania, czy warunki umowne nałożone na dostawców EETS przez podmiot pobierający opłaty nie mają charakteru dyskryminacyjnego. Organ pojednawczy jest uprawniony do sprawdzania, czy dostawcy EETS otrzymują wynagrodzenie zgodnie z zasadami przewidzianymi w art. 7 dyrektywy. Zatem komisja przewidziana w ustawie o drogach publicznych musi posiadać możliwości zbadania wszystkich okoliczności aby wypełnić zobow</w:t>
            </w:r>
            <w:r>
              <w:rPr>
                <w:rFonts w:ascii="Times New Roman" w:hAnsi="Times New Roman" w:cs="Times New Roman"/>
              </w:rPr>
              <w:t>iązania wynikające z dyrektywy.</w:t>
            </w:r>
          </w:p>
          <w:p w:rsidR="0060619A" w:rsidRPr="0060619A" w:rsidRDefault="0060619A" w:rsidP="0060619A">
            <w:pPr>
              <w:rPr>
                <w:rFonts w:ascii="Times New Roman" w:hAnsi="Times New Roman" w:cs="Times New Roman"/>
              </w:rPr>
            </w:pPr>
          </w:p>
          <w:p w:rsidR="0060619A" w:rsidRPr="0060619A" w:rsidRDefault="0060619A" w:rsidP="0004098A">
            <w:pPr>
              <w:jc w:val="both"/>
              <w:rPr>
                <w:rFonts w:ascii="Times New Roman" w:hAnsi="Times New Roman" w:cs="Times New Roman"/>
              </w:rPr>
            </w:pPr>
            <w:r w:rsidRPr="0060619A">
              <w:rPr>
                <w:rFonts w:ascii="Times New Roman" w:hAnsi="Times New Roman" w:cs="Times New Roman"/>
              </w:rPr>
              <w:t>Natomiast w zakresie wątpliwości PGRP odnośnie do obecnych z</w:t>
            </w:r>
            <w:r w:rsidR="0004098A">
              <w:rPr>
                <w:rFonts w:ascii="Times New Roman" w:hAnsi="Times New Roman" w:cs="Times New Roman"/>
              </w:rPr>
              <w:t>asad działania komisji wyjaśniono</w:t>
            </w:r>
            <w:r w:rsidRPr="0060619A">
              <w:rPr>
                <w:rFonts w:ascii="Times New Roman" w:hAnsi="Times New Roman" w:cs="Times New Roman"/>
              </w:rPr>
              <w:t xml:space="preserve">, że przepisy ustawy o drogach publicznych dotyczące komisji jako organu pojednawczego były notyfikowane Komisji Europejskiej w 2016 r., która nie zgłosiła do nich zastrzeżeń. Ponadto należy podkreślić, że zgodnie z art. 16z spór pomiędzy podmiotem pobierającym opłaty a dostawcą EETS dotyczący negocjacji związanych z usługą EETS i umową może być przedmiotem postępowania pojednawczego prowadzonego na wniosek złożony przez podmiot pobierający opłaty, lub dostawcę EETS, przez niezależną Komisję powoływaną do wydawania opinii w sprawie sporów związanych z usługą EETS. Złożenie wniosku nie narusza prawa stron do rozstrzygania sporów na podstawie odrębnych przepisów. Zatem strona ma wybór czy skorzystać z postępowania pojednawczego czy skierować sprawę do sądu powszechnego. </w:t>
            </w:r>
            <w:r w:rsidR="0004098A">
              <w:rPr>
                <w:rFonts w:ascii="Times New Roman" w:hAnsi="Times New Roman" w:cs="Times New Roman"/>
              </w:rPr>
              <w:t>Wobec powyższego MI nie podzieliło</w:t>
            </w:r>
            <w:r w:rsidRPr="0060619A">
              <w:rPr>
                <w:rFonts w:ascii="Times New Roman" w:hAnsi="Times New Roman" w:cs="Times New Roman"/>
              </w:rPr>
              <w:t xml:space="preserve"> wątpliwości PGRP.</w:t>
            </w:r>
          </w:p>
          <w:p w:rsidR="0060619A" w:rsidRPr="005872A5" w:rsidRDefault="0060619A" w:rsidP="00672C60">
            <w:pPr>
              <w:rPr>
                <w:rFonts w:ascii="Times New Roman" w:hAnsi="Times New Roman" w:cs="Times New Roman"/>
              </w:rPr>
            </w:pP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 xml:space="preserve">UODO </w:t>
            </w: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Uwaga ogólna</w:t>
            </w:r>
          </w:p>
        </w:tc>
        <w:tc>
          <w:tcPr>
            <w:tcW w:w="6663" w:type="dxa"/>
            <w:shd w:val="clear" w:color="auto" w:fill="auto"/>
          </w:tcPr>
          <w:p w:rsidR="00DC63F0" w:rsidRPr="005872A5" w:rsidRDefault="00834063" w:rsidP="00834063">
            <w:pPr>
              <w:jc w:val="both"/>
              <w:rPr>
                <w:rFonts w:ascii="Times New Roman" w:hAnsi="Times New Roman" w:cs="Times New Roman"/>
              </w:rPr>
            </w:pPr>
            <w:r w:rsidRPr="00834063">
              <w:rPr>
                <w:rFonts w:ascii="Times New Roman" w:hAnsi="Times New Roman" w:cs="Times New Roman"/>
              </w:rPr>
              <w:t xml:space="preserve">W pierwszej kolejności podkreślenia wymaga że </w:t>
            </w:r>
            <w:r>
              <w:rPr>
                <w:rFonts w:ascii="Times New Roman" w:hAnsi="Times New Roman" w:cs="Times New Roman"/>
              </w:rPr>
              <w:t xml:space="preserve">przedłożony projekt nie zawiera </w:t>
            </w:r>
            <w:r w:rsidRPr="00834063">
              <w:rPr>
                <w:rFonts w:ascii="Times New Roman" w:hAnsi="Times New Roman" w:cs="Times New Roman"/>
              </w:rPr>
              <w:t xml:space="preserve">dokonanej w kompleksowy sposób oceny skutków dla ochrony </w:t>
            </w:r>
            <w:r w:rsidRPr="00834063">
              <w:rPr>
                <w:rFonts w:ascii="Times New Roman" w:hAnsi="Times New Roman" w:cs="Times New Roman"/>
              </w:rPr>
              <w:lastRenderedPageBreak/>
              <w:t>danych, o której mowa</w:t>
            </w:r>
            <w:r>
              <w:rPr>
                <w:rFonts w:ascii="Times New Roman" w:hAnsi="Times New Roman" w:cs="Times New Roman"/>
              </w:rPr>
              <w:t xml:space="preserve"> w art. 35 </w:t>
            </w:r>
            <w:r w:rsidRPr="00834063">
              <w:rPr>
                <w:rFonts w:ascii="Times New Roman" w:hAnsi="Times New Roman" w:cs="Times New Roman"/>
              </w:rPr>
              <w:t>rozporządzenia 2016/679. Jej dokonanie niesie ze sobą szereg ko</w:t>
            </w:r>
            <w:r>
              <w:rPr>
                <w:rFonts w:ascii="Times New Roman" w:hAnsi="Times New Roman" w:cs="Times New Roman"/>
              </w:rPr>
              <w:t xml:space="preserve">rzyści, stąd od czasu wejścia w </w:t>
            </w:r>
            <w:r w:rsidRPr="00834063">
              <w:rPr>
                <w:rFonts w:ascii="Times New Roman" w:hAnsi="Times New Roman" w:cs="Times New Roman"/>
              </w:rPr>
              <w:t>stosowanie przepisów rozporządzenia 2016/679 organ wł</w:t>
            </w:r>
            <w:r>
              <w:rPr>
                <w:rFonts w:ascii="Times New Roman" w:hAnsi="Times New Roman" w:cs="Times New Roman"/>
              </w:rPr>
              <w:t xml:space="preserve">aściwy w sprawie ochrony danych </w:t>
            </w:r>
            <w:r w:rsidRPr="00834063">
              <w:rPr>
                <w:rFonts w:ascii="Times New Roman" w:hAnsi="Times New Roman" w:cs="Times New Roman"/>
              </w:rPr>
              <w:t>osobowych konsekwentnie poleca uwadze Projektodawcy, aby przy wyp</w:t>
            </w:r>
            <w:r>
              <w:rPr>
                <w:rFonts w:ascii="Times New Roman" w:hAnsi="Times New Roman" w:cs="Times New Roman"/>
              </w:rPr>
              <w:t xml:space="preserve">racowywaniu przepisów </w:t>
            </w:r>
            <w:r w:rsidRPr="00834063">
              <w:rPr>
                <w:rFonts w:ascii="Times New Roman" w:hAnsi="Times New Roman" w:cs="Times New Roman"/>
              </w:rPr>
              <w:t xml:space="preserve">prawa uwzględniać dokonywanie oceny skutków dla ochrony </w:t>
            </w:r>
            <w:r>
              <w:rPr>
                <w:rFonts w:ascii="Times New Roman" w:hAnsi="Times New Roman" w:cs="Times New Roman"/>
              </w:rPr>
              <w:t xml:space="preserve">danych, jej wyników i wpływu na </w:t>
            </w:r>
            <w:r w:rsidRPr="00834063">
              <w:rPr>
                <w:rFonts w:ascii="Times New Roman" w:hAnsi="Times New Roman" w:cs="Times New Roman"/>
              </w:rPr>
              <w:t>kształt i treść określonych regulacji stanowiących o</w:t>
            </w:r>
            <w:r>
              <w:rPr>
                <w:rFonts w:ascii="Times New Roman" w:hAnsi="Times New Roman" w:cs="Times New Roman"/>
              </w:rPr>
              <w:t xml:space="preserve"> dokonywaniu operacji na danych </w:t>
            </w:r>
            <w:r w:rsidRPr="00834063">
              <w:rPr>
                <w:rFonts w:ascii="Times New Roman" w:hAnsi="Times New Roman" w:cs="Times New Roman"/>
              </w:rPr>
              <w:t>osobowych. Dokonywanie takiej oceny jest poż</w:t>
            </w:r>
            <w:r>
              <w:rPr>
                <w:rFonts w:ascii="Times New Roman" w:hAnsi="Times New Roman" w:cs="Times New Roman"/>
              </w:rPr>
              <w:t xml:space="preserve">ądane (uzasadnione) w związku z </w:t>
            </w:r>
            <w:r w:rsidRPr="00834063">
              <w:rPr>
                <w:rFonts w:ascii="Times New Roman" w:hAnsi="Times New Roman" w:cs="Times New Roman"/>
              </w:rPr>
              <w:t>przyjmowaniem podstaw prawnych przetwarzania dany</w:t>
            </w:r>
            <w:r>
              <w:rPr>
                <w:rFonts w:ascii="Times New Roman" w:hAnsi="Times New Roman" w:cs="Times New Roman"/>
              </w:rPr>
              <w:t xml:space="preserve">ch osobowych (ocena skutków dla </w:t>
            </w:r>
            <w:r w:rsidRPr="00834063">
              <w:rPr>
                <w:rFonts w:ascii="Times New Roman" w:hAnsi="Times New Roman" w:cs="Times New Roman"/>
              </w:rPr>
              <w:t>ochrony danych dokonywana już w ramach oceny skutków regul</w:t>
            </w:r>
            <w:r>
              <w:rPr>
                <w:rFonts w:ascii="Times New Roman" w:hAnsi="Times New Roman" w:cs="Times New Roman"/>
              </w:rPr>
              <w:t xml:space="preserve">acji w związku z przyjęciem tej </w:t>
            </w:r>
            <w:r w:rsidRPr="00834063">
              <w:rPr>
                <w:rFonts w:ascii="Times New Roman" w:hAnsi="Times New Roman" w:cs="Times New Roman"/>
              </w:rPr>
              <w:t>podstawy prawnej - art. 35 ust. 10 rozporządzenia 2016/679). Wykonanie takiej oceny,</w:t>
            </w:r>
            <w:r>
              <w:rPr>
                <w:rFonts w:ascii="Times New Roman" w:hAnsi="Times New Roman" w:cs="Times New Roman"/>
              </w:rPr>
              <w:t xml:space="preserve"> </w:t>
            </w:r>
            <w:r w:rsidRPr="00834063">
              <w:rPr>
                <w:rFonts w:ascii="Times New Roman" w:hAnsi="Times New Roman" w:cs="Times New Roman"/>
              </w:rPr>
              <w:t>uwzględnienie jej wyników w treści projektowanych (sta</w:t>
            </w:r>
            <w:r>
              <w:rPr>
                <w:rFonts w:ascii="Times New Roman" w:hAnsi="Times New Roman" w:cs="Times New Roman"/>
              </w:rPr>
              <w:t xml:space="preserve">nowionych) przepisów prawa oraz </w:t>
            </w:r>
            <w:r w:rsidRPr="00834063">
              <w:rPr>
                <w:rFonts w:ascii="Times New Roman" w:hAnsi="Times New Roman" w:cs="Times New Roman"/>
              </w:rPr>
              <w:t>zawarcie informacji o jej wynikach w ocenie skutkó</w:t>
            </w:r>
            <w:r>
              <w:rPr>
                <w:rFonts w:ascii="Times New Roman" w:hAnsi="Times New Roman" w:cs="Times New Roman"/>
              </w:rPr>
              <w:t xml:space="preserve">w projektowanej regulacji lub w </w:t>
            </w:r>
            <w:r w:rsidRPr="00834063">
              <w:rPr>
                <w:rFonts w:ascii="Times New Roman" w:hAnsi="Times New Roman" w:cs="Times New Roman"/>
              </w:rPr>
              <w:t>uzasadnieniu do projektowanej regulacji jest niezwykle pomoc</w:t>
            </w:r>
            <w:r>
              <w:rPr>
                <w:rFonts w:ascii="Times New Roman" w:hAnsi="Times New Roman" w:cs="Times New Roman"/>
              </w:rPr>
              <w:t xml:space="preserve">ne - zarówno dla Projektodawcy, </w:t>
            </w:r>
            <w:r w:rsidRPr="00834063">
              <w:rPr>
                <w:rFonts w:ascii="Times New Roman" w:hAnsi="Times New Roman" w:cs="Times New Roman"/>
              </w:rPr>
              <w:t>celem stworzenia przepisów zapewniających stosowanie prze</w:t>
            </w:r>
            <w:r>
              <w:rPr>
                <w:rFonts w:ascii="Times New Roman" w:hAnsi="Times New Roman" w:cs="Times New Roman"/>
              </w:rPr>
              <w:t xml:space="preserve">pisów rozporządzenia i dających </w:t>
            </w:r>
            <w:r w:rsidRPr="00834063">
              <w:rPr>
                <w:rFonts w:ascii="Times New Roman" w:hAnsi="Times New Roman" w:cs="Times New Roman"/>
              </w:rPr>
              <w:t>odpowiednie gwarancje zgodności z ogólnym rozporządze</w:t>
            </w:r>
            <w:r>
              <w:rPr>
                <w:rFonts w:ascii="Times New Roman" w:hAnsi="Times New Roman" w:cs="Times New Roman"/>
              </w:rPr>
              <w:t xml:space="preserve">niem wykonawcom norm, jak i dla </w:t>
            </w:r>
            <w:r w:rsidRPr="00834063">
              <w:rPr>
                <w:rFonts w:ascii="Times New Roman" w:hAnsi="Times New Roman" w:cs="Times New Roman"/>
              </w:rPr>
              <w:t>organu nadzorczego, celem oceny zaproponowanych</w:t>
            </w:r>
            <w:r>
              <w:rPr>
                <w:rFonts w:ascii="Times New Roman" w:hAnsi="Times New Roman" w:cs="Times New Roman"/>
              </w:rPr>
              <w:t xml:space="preserve"> uregulowań. Ocena skutków jest </w:t>
            </w:r>
            <w:r w:rsidRPr="00834063">
              <w:rPr>
                <w:rFonts w:ascii="Times New Roman" w:hAnsi="Times New Roman" w:cs="Times New Roman"/>
              </w:rPr>
              <w:t xml:space="preserve">niezbędna, gdy projektowane procesy przetwarzania danych </w:t>
            </w:r>
            <w:r>
              <w:rPr>
                <w:rFonts w:ascii="Times New Roman" w:hAnsi="Times New Roman" w:cs="Times New Roman"/>
              </w:rPr>
              <w:t xml:space="preserve">- w szczególności następujące z </w:t>
            </w:r>
            <w:r w:rsidRPr="00834063">
              <w:rPr>
                <w:rFonts w:ascii="Times New Roman" w:hAnsi="Times New Roman" w:cs="Times New Roman"/>
              </w:rPr>
              <w:t>użyciem nowych technologii - ze względu na rodzaj przetwa</w:t>
            </w:r>
            <w:r>
              <w:rPr>
                <w:rFonts w:ascii="Times New Roman" w:hAnsi="Times New Roman" w:cs="Times New Roman"/>
              </w:rPr>
              <w:t xml:space="preserve">rzania, jego charakter, zakres, </w:t>
            </w:r>
            <w:r w:rsidRPr="00834063">
              <w:rPr>
                <w:rFonts w:ascii="Times New Roman" w:hAnsi="Times New Roman" w:cs="Times New Roman"/>
              </w:rPr>
              <w:t>kontekst i cele z dużym prawdopodobieństwem mogą powo</w:t>
            </w:r>
            <w:r>
              <w:rPr>
                <w:rFonts w:ascii="Times New Roman" w:hAnsi="Times New Roman" w:cs="Times New Roman"/>
              </w:rPr>
              <w:t xml:space="preserve">dować wysokie ryzyko naruszenia </w:t>
            </w:r>
            <w:r w:rsidRPr="00834063">
              <w:rPr>
                <w:rFonts w:ascii="Times New Roman" w:hAnsi="Times New Roman" w:cs="Times New Roman"/>
              </w:rPr>
              <w:t>praw lub wolności osób fizycznych (art. 35 ust. 1 rozporządzenia 2016/679). Nie powin</w:t>
            </w:r>
            <w:r>
              <w:rPr>
                <w:rFonts w:ascii="Times New Roman" w:hAnsi="Times New Roman" w:cs="Times New Roman"/>
              </w:rPr>
              <w:t xml:space="preserve">no także </w:t>
            </w:r>
            <w:r w:rsidRPr="00834063">
              <w:rPr>
                <w:rFonts w:ascii="Times New Roman" w:hAnsi="Times New Roman" w:cs="Times New Roman"/>
              </w:rPr>
              <w:t>umykać uwadze Projektodawcy, że fundamentalne znaczenie d</w:t>
            </w:r>
            <w:r>
              <w:rPr>
                <w:rFonts w:ascii="Times New Roman" w:hAnsi="Times New Roman" w:cs="Times New Roman"/>
              </w:rPr>
              <w:t xml:space="preserve">la tworzenia przepisów prawa ma </w:t>
            </w:r>
            <w:r w:rsidRPr="00834063">
              <w:rPr>
                <w:rFonts w:ascii="Times New Roman" w:hAnsi="Times New Roman" w:cs="Times New Roman"/>
              </w:rPr>
              <w:t>czynienie zadość - poprzez uwzględnianie ich w treśc</w:t>
            </w:r>
            <w:r>
              <w:rPr>
                <w:rFonts w:ascii="Times New Roman" w:hAnsi="Times New Roman" w:cs="Times New Roman"/>
              </w:rPr>
              <w:t xml:space="preserve">i przepisów krajowych – zasadom </w:t>
            </w:r>
            <w:r w:rsidRPr="00834063">
              <w:rPr>
                <w:rFonts w:ascii="Times New Roman" w:hAnsi="Times New Roman" w:cs="Times New Roman"/>
              </w:rPr>
              <w:t xml:space="preserve">dotyczącym przetwarzania danych osobowych, wynikającym z przepisów art. 5 </w:t>
            </w:r>
            <w:r>
              <w:rPr>
                <w:rFonts w:ascii="Times New Roman" w:hAnsi="Times New Roman" w:cs="Times New Roman"/>
              </w:rPr>
              <w:t xml:space="preserve">rozporządzenia </w:t>
            </w:r>
            <w:r w:rsidRPr="00834063">
              <w:rPr>
                <w:rFonts w:ascii="Times New Roman" w:hAnsi="Times New Roman" w:cs="Times New Roman"/>
              </w:rPr>
              <w:t>2016/679. Istotne jest także branie pod uwagę ob</w:t>
            </w:r>
            <w:r>
              <w:rPr>
                <w:rFonts w:ascii="Times New Roman" w:hAnsi="Times New Roman" w:cs="Times New Roman"/>
              </w:rPr>
              <w:t xml:space="preserve">owiązków wynikających z art. 25 </w:t>
            </w:r>
            <w:r w:rsidRPr="00834063">
              <w:rPr>
                <w:rFonts w:ascii="Times New Roman" w:hAnsi="Times New Roman" w:cs="Times New Roman"/>
              </w:rPr>
              <w:t>rozporządzenia 2016/679, a mianowicie uwzględnianie ochro</w:t>
            </w:r>
            <w:r>
              <w:rPr>
                <w:rFonts w:ascii="Times New Roman" w:hAnsi="Times New Roman" w:cs="Times New Roman"/>
              </w:rPr>
              <w:t xml:space="preserve">ny danych w fazie projektowania </w:t>
            </w:r>
            <w:r w:rsidRPr="00834063">
              <w:rPr>
                <w:rFonts w:ascii="Times New Roman" w:hAnsi="Times New Roman" w:cs="Times New Roman"/>
              </w:rPr>
              <w:t>oraz stosowanie domyślnej ochrony danych przy określaniu sposobów przetwarzania.</w:t>
            </w:r>
          </w:p>
        </w:tc>
        <w:tc>
          <w:tcPr>
            <w:tcW w:w="4785" w:type="dxa"/>
            <w:shd w:val="clear" w:color="auto" w:fill="auto"/>
          </w:tcPr>
          <w:p w:rsidR="0004098A" w:rsidRDefault="0004098A" w:rsidP="0004098A">
            <w:pPr>
              <w:jc w:val="both"/>
              <w:rPr>
                <w:rFonts w:ascii="Times New Roman" w:hAnsi="Times New Roman" w:cs="Times New Roman"/>
              </w:rPr>
            </w:pPr>
            <w:r>
              <w:rPr>
                <w:rFonts w:ascii="Times New Roman" w:hAnsi="Times New Roman" w:cs="Times New Roman"/>
              </w:rPr>
              <w:lastRenderedPageBreak/>
              <w:t>Uwaga wyjaśniona</w:t>
            </w:r>
          </w:p>
          <w:p w:rsidR="00DC63F0" w:rsidRPr="005872A5" w:rsidRDefault="0004098A" w:rsidP="0004098A">
            <w:pPr>
              <w:jc w:val="both"/>
              <w:rPr>
                <w:rFonts w:ascii="Times New Roman" w:hAnsi="Times New Roman" w:cs="Times New Roman"/>
              </w:rPr>
            </w:pPr>
            <w:r>
              <w:rPr>
                <w:rFonts w:ascii="Times New Roman" w:hAnsi="Times New Roman" w:cs="Times New Roman"/>
              </w:rPr>
              <w:lastRenderedPageBreak/>
              <w:t>W</w:t>
            </w:r>
            <w:r w:rsidR="00416753" w:rsidRPr="00416753">
              <w:rPr>
                <w:rFonts w:ascii="Times New Roman" w:hAnsi="Times New Roman" w:cs="Times New Roman"/>
              </w:rPr>
              <w:t xml:space="preserve"> OSR do projektu ustawy w pkt 10 Wpływ na pozostałe obszary w części – Omówienie wpływu zostało zawarte wyjaśnienie w tym zakresie: „Dyrektywa, a co za tym idzie projektowana ustawa, przewidują przetwarzanie ściśle określonych danych osobowych właścicieli i posiadaczy pojazdów w celu transgranicznej wymiany informacji o naruszeniach obowiązku uiszczenia opłat uiszczanych w sposób elektroniczny. Wymiana ta będzie następować z wykorzystaniem elektronicznych baz zawierających dane o pojazdach oraz ich właścicielach i posiadaczach. O ile więc można mówić tu o przetwarzaniu danych osobowych z wykorzystaniem nowych technologii, zdaniem projektodawcy przepisy art. 35 i 36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regulujące przypadki, w których konieczne jest przeprowadzenie oceny skutków dla ochrony danych nie mają tu zastosowania. Wynika to z faktu, że zakładane rozwiązanie korzysta już z istniejących baz danych prowadzonych w systemie teleinformatycznym, co oznacza, że czynności przetwarzania danych osobowych w ramach transgranicznej wymiany danych będą stanowić działalność niejako uboczną (wtórną) jaką jest prowadzenie przez państwa członkowskie UE bazy danych o pojazdach oraz ich właścicielach i posiadaczach. Niemniej, w celu zminimalizowania ryzyka naruszenia praw lub wolności osób </w:t>
            </w:r>
            <w:r w:rsidR="00416753" w:rsidRPr="00416753">
              <w:rPr>
                <w:rFonts w:ascii="Times New Roman" w:hAnsi="Times New Roman" w:cs="Times New Roman"/>
              </w:rPr>
              <w:lastRenderedPageBreak/>
              <w:t>fizycznych, w projekcie ustawy nałożono na organy przetwarzające dane osobowe w omawianym zakresie obowiązek stosowania przepisu art. 39 ustawy z dnia 14 grudnia 2019 r. o ochronie danych osobowych przetwarzanych w związku z zapobieganiem i zwalczaniem przestępczości (Dz. U. z 2019 r. poz. 125), co powinno w pełni zabezpieczyć proces przetwarzania danych osobowych.”. Mając to na uwadze należy również podkreślić, że Minister Infrastruktury nie jest administratorem danych i nie może dokonać oceny skutków dla ochrony danych, o której mowa w art. 35 rozporządzenia 2016/679.</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Art. 1 pkt 8</w:t>
            </w:r>
          </w:p>
        </w:tc>
        <w:tc>
          <w:tcPr>
            <w:tcW w:w="6663" w:type="dxa"/>
            <w:shd w:val="clear" w:color="auto" w:fill="auto"/>
          </w:tcPr>
          <w:p w:rsidR="00834063" w:rsidRPr="00834063" w:rsidRDefault="00834063" w:rsidP="00834063">
            <w:pPr>
              <w:jc w:val="both"/>
              <w:rPr>
                <w:rFonts w:ascii="Times New Roman" w:hAnsi="Times New Roman" w:cs="Times New Roman"/>
              </w:rPr>
            </w:pPr>
            <w:r w:rsidRPr="00834063">
              <w:rPr>
                <w:rFonts w:ascii="Times New Roman" w:hAnsi="Times New Roman" w:cs="Times New Roman"/>
              </w:rPr>
              <w:t>W dodawanym do ustawy o drogach pub</w:t>
            </w:r>
            <w:r>
              <w:rPr>
                <w:rFonts w:ascii="Times New Roman" w:hAnsi="Times New Roman" w:cs="Times New Roman"/>
              </w:rPr>
              <w:t xml:space="preserve">licznych art. 13mc ust.1 pkt 2) </w:t>
            </w:r>
            <w:r w:rsidRPr="00834063">
              <w:rPr>
                <w:rFonts w:ascii="Times New Roman" w:hAnsi="Times New Roman" w:cs="Times New Roman"/>
              </w:rPr>
              <w:t>Projektodawca wskazuje dane osobowe właściciel</w:t>
            </w:r>
            <w:r>
              <w:rPr>
                <w:rFonts w:ascii="Times New Roman" w:hAnsi="Times New Roman" w:cs="Times New Roman"/>
              </w:rPr>
              <w:t xml:space="preserve">a pojazdu bądź jego posiadacza, </w:t>
            </w:r>
            <w:r w:rsidRPr="00834063">
              <w:rPr>
                <w:rFonts w:ascii="Times New Roman" w:hAnsi="Times New Roman" w:cs="Times New Roman"/>
              </w:rPr>
              <w:t>które będą udostępniane krajowym punktom konta</w:t>
            </w:r>
            <w:r>
              <w:rPr>
                <w:rFonts w:ascii="Times New Roman" w:hAnsi="Times New Roman" w:cs="Times New Roman"/>
              </w:rPr>
              <w:t xml:space="preserve">ktowym, na zasadach określonych </w:t>
            </w:r>
            <w:r w:rsidRPr="00834063">
              <w:rPr>
                <w:rFonts w:ascii="Times New Roman" w:hAnsi="Times New Roman" w:cs="Times New Roman"/>
              </w:rPr>
              <w:t>w ust. 1 tego przepisu. Wśród wymienionych danych wskazano m.in. numer PESEL</w:t>
            </w:r>
            <w:r>
              <w:rPr>
                <w:rFonts w:ascii="Times New Roman" w:hAnsi="Times New Roman" w:cs="Times New Roman"/>
              </w:rPr>
              <w:t xml:space="preserve"> </w:t>
            </w:r>
            <w:r w:rsidRPr="00834063">
              <w:rPr>
                <w:rFonts w:ascii="Times New Roman" w:hAnsi="Times New Roman" w:cs="Times New Roman"/>
              </w:rPr>
              <w:t xml:space="preserve">właściciela lub posiadacza pojazdu. Wyjaśnienia </w:t>
            </w:r>
            <w:r>
              <w:rPr>
                <w:rFonts w:ascii="Times New Roman" w:hAnsi="Times New Roman" w:cs="Times New Roman"/>
              </w:rPr>
              <w:t xml:space="preserve">wymaga, czyj numer PESEL będzie </w:t>
            </w:r>
            <w:r w:rsidRPr="00834063">
              <w:rPr>
                <w:rFonts w:ascii="Times New Roman" w:hAnsi="Times New Roman" w:cs="Times New Roman"/>
              </w:rPr>
              <w:t>pozyskiwany, w sytuacji w której właścicielem p</w:t>
            </w:r>
            <w:r>
              <w:rPr>
                <w:rFonts w:ascii="Times New Roman" w:hAnsi="Times New Roman" w:cs="Times New Roman"/>
              </w:rPr>
              <w:t xml:space="preserve">ojazdu będzie osoba prawna, np. </w:t>
            </w:r>
            <w:r w:rsidRPr="00834063">
              <w:rPr>
                <w:rFonts w:ascii="Times New Roman" w:hAnsi="Times New Roman" w:cs="Times New Roman"/>
              </w:rPr>
              <w:t>spółka. Rozważenia wymaga także niezbędność p</w:t>
            </w:r>
            <w:r>
              <w:rPr>
                <w:rFonts w:ascii="Times New Roman" w:hAnsi="Times New Roman" w:cs="Times New Roman"/>
              </w:rPr>
              <w:t xml:space="preserve">ozyskiwania daty i miejsca </w:t>
            </w:r>
            <w:r w:rsidRPr="00834063">
              <w:rPr>
                <w:rFonts w:ascii="Times New Roman" w:hAnsi="Times New Roman" w:cs="Times New Roman"/>
              </w:rPr>
              <w:t>urodzenia właściciela lub posiadacza pojazdu. Nie jest bowiem znany cel w jakiem</w:t>
            </w:r>
          </w:p>
          <w:p w:rsidR="00DC63F0" w:rsidRPr="005872A5" w:rsidRDefault="00834063" w:rsidP="00834063">
            <w:pPr>
              <w:jc w:val="both"/>
              <w:rPr>
                <w:rFonts w:ascii="Times New Roman" w:hAnsi="Times New Roman" w:cs="Times New Roman"/>
              </w:rPr>
            </w:pPr>
            <w:r w:rsidRPr="00834063">
              <w:rPr>
                <w:rFonts w:ascii="Times New Roman" w:hAnsi="Times New Roman" w:cs="Times New Roman"/>
              </w:rPr>
              <w:t>dane te miałyby być udostępnianym krajowym pun</w:t>
            </w:r>
            <w:r>
              <w:rPr>
                <w:rFonts w:ascii="Times New Roman" w:hAnsi="Times New Roman" w:cs="Times New Roman"/>
              </w:rPr>
              <w:t xml:space="preserve">ktom kontaktowym. Zgodnie zaś z </w:t>
            </w:r>
            <w:r w:rsidRPr="00834063">
              <w:rPr>
                <w:rFonts w:ascii="Times New Roman" w:hAnsi="Times New Roman" w:cs="Times New Roman"/>
              </w:rPr>
              <w:t>art. 5 ust. 1 lit b) rozporządzenia 2016/679 dane osobowe muszą być zb</w:t>
            </w:r>
            <w:r>
              <w:rPr>
                <w:rFonts w:ascii="Times New Roman" w:hAnsi="Times New Roman" w:cs="Times New Roman"/>
              </w:rPr>
              <w:t xml:space="preserve">ierane w </w:t>
            </w:r>
            <w:r w:rsidRPr="00834063">
              <w:rPr>
                <w:rFonts w:ascii="Times New Roman" w:hAnsi="Times New Roman" w:cs="Times New Roman"/>
              </w:rPr>
              <w:t>konkretnych, wyraźnych i prawnie uzasadnionych c</w:t>
            </w:r>
            <w:r>
              <w:rPr>
                <w:rFonts w:ascii="Times New Roman" w:hAnsi="Times New Roman" w:cs="Times New Roman"/>
              </w:rPr>
              <w:t xml:space="preserve">elach i nieprzetwarzane dalej w </w:t>
            </w:r>
            <w:r w:rsidRPr="00834063">
              <w:rPr>
                <w:rFonts w:ascii="Times New Roman" w:hAnsi="Times New Roman" w:cs="Times New Roman"/>
              </w:rPr>
              <w:t>sposób niezgodny z tymi celami.</w:t>
            </w:r>
          </w:p>
        </w:tc>
        <w:tc>
          <w:tcPr>
            <w:tcW w:w="4785" w:type="dxa"/>
            <w:shd w:val="clear" w:color="auto" w:fill="auto"/>
          </w:tcPr>
          <w:p w:rsidR="0004098A" w:rsidRDefault="0004098A" w:rsidP="0004098A">
            <w:pPr>
              <w:jc w:val="both"/>
              <w:rPr>
                <w:rFonts w:ascii="Times New Roman" w:hAnsi="Times New Roman" w:cs="Times New Roman"/>
              </w:rPr>
            </w:pPr>
            <w:r>
              <w:rPr>
                <w:rFonts w:ascii="Times New Roman" w:hAnsi="Times New Roman" w:cs="Times New Roman"/>
              </w:rPr>
              <w:t>Uwaga wyjaśniona</w:t>
            </w:r>
          </w:p>
          <w:p w:rsidR="00DC63F0" w:rsidRPr="005872A5" w:rsidRDefault="00416753" w:rsidP="0004098A">
            <w:pPr>
              <w:jc w:val="both"/>
              <w:rPr>
                <w:rFonts w:ascii="Times New Roman" w:hAnsi="Times New Roman" w:cs="Times New Roman"/>
              </w:rPr>
            </w:pPr>
            <w:r>
              <w:rPr>
                <w:rFonts w:ascii="Times New Roman" w:hAnsi="Times New Roman" w:cs="Times New Roman"/>
              </w:rPr>
              <w:t>N</w:t>
            </w:r>
            <w:r w:rsidRPr="00416753">
              <w:rPr>
                <w:rFonts w:ascii="Times New Roman" w:hAnsi="Times New Roman" w:cs="Times New Roman"/>
              </w:rPr>
              <w:t xml:space="preserve">umer PESEL nie będzie pozyskiwany w sytuacji kiedy właścicielem lub posiadaczem pojazdu będzie osoba prawna. Zgodnie z art. 15 ust. 2 ustawy z dnia 24 września 2010 r. o ewidencji ludności (Dz. U. z 2021 r. poz. 510, z późn. zm.) numer PESEL jest to jedenastocyfrowy symbol numeryczny, jednoznacznie identyfikujący osobę fizyczną. Wobec czego w sytuacji kiedy właścicielem lub posiadaczem pojazdu jest osoba prawna nie ma możliwości pozyskania i przetwarzania numeru PESEL. Odnosząc się do dalszej części uwagi w dodawanym art. 13mc ust. 1 pkt 2 lit. f zostanie usunięte miejsce urodzenia właściciela lub posiadacza pojazdu. Zgodnie z załącznikiem I, część II „Dane dotyczące właścicieli lub posiadaczy pojazdów” do dyrektywy Parlamentu Europejskiego i Rady (UE) 2019/520 z dnia 19 marca 2019 r. w sprawie interoperacyjności systemów elektronicznego poboru opłat i ułatwiania transgranicznej wymiany informacji na temat przypadków nieuiszczenia opłat drogowych w Unii </w:t>
            </w:r>
            <w:r w:rsidRPr="00416753">
              <w:rPr>
                <w:rFonts w:ascii="Times New Roman" w:hAnsi="Times New Roman" w:cs="Times New Roman"/>
              </w:rPr>
              <w:lastRenderedPageBreak/>
              <w:t>(Dz. Urz. UE L 91, str. 45) miejsce urodzenia zostało wskazane jako nieobowiązkowy element danych przekazywanych w następstwie automatycznego wyszukiwania prowadzonego zgodnie z art. 23 ust. 1.</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Art. 1 pkt 8</w:t>
            </w:r>
          </w:p>
        </w:tc>
        <w:tc>
          <w:tcPr>
            <w:tcW w:w="6663" w:type="dxa"/>
            <w:shd w:val="clear" w:color="auto" w:fill="auto"/>
          </w:tcPr>
          <w:p w:rsidR="00DC63F0" w:rsidRPr="005872A5" w:rsidRDefault="00834063" w:rsidP="00834063">
            <w:pPr>
              <w:jc w:val="both"/>
              <w:rPr>
                <w:rFonts w:ascii="Times New Roman" w:hAnsi="Times New Roman" w:cs="Times New Roman"/>
              </w:rPr>
            </w:pPr>
            <w:r w:rsidRPr="00834063">
              <w:rPr>
                <w:rFonts w:ascii="Times New Roman" w:hAnsi="Times New Roman" w:cs="Times New Roman"/>
              </w:rPr>
              <w:t>Wyjaśnienia wymaga także przewidziane w prop</w:t>
            </w:r>
            <w:r>
              <w:rPr>
                <w:rFonts w:ascii="Times New Roman" w:hAnsi="Times New Roman" w:cs="Times New Roman"/>
              </w:rPr>
              <w:t xml:space="preserve">onowanym w art. 13me ust. 3 </w:t>
            </w:r>
            <w:r w:rsidRPr="00834063">
              <w:rPr>
                <w:rFonts w:ascii="Times New Roman" w:hAnsi="Times New Roman" w:cs="Times New Roman"/>
              </w:rPr>
              <w:t>odesłanie do przepisów ustawy z dnia 14 li</w:t>
            </w:r>
            <w:r>
              <w:rPr>
                <w:rFonts w:ascii="Times New Roman" w:hAnsi="Times New Roman" w:cs="Times New Roman"/>
              </w:rPr>
              <w:t xml:space="preserve">pca 1983 r. o narodowym zasobie </w:t>
            </w:r>
            <w:r w:rsidRPr="00834063">
              <w:rPr>
                <w:rFonts w:ascii="Times New Roman" w:hAnsi="Times New Roman" w:cs="Times New Roman"/>
              </w:rPr>
              <w:t xml:space="preserve">archiwalnym i archiwach, w brzmieniu: Krajowe </w:t>
            </w:r>
            <w:r>
              <w:rPr>
                <w:rFonts w:ascii="Times New Roman" w:hAnsi="Times New Roman" w:cs="Times New Roman"/>
              </w:rPr>
              <w:t xml:space="preserve">podmioty uprawnione przechowują </w:t>
            </w:r>
            <w:r w:rsidRPr="00834063">
              <w:rPr>
                <w:rFonts w:ascii="Times New Roman" w:hAnsi="Times New Roman" w:cs="Times New Roman"/>
              </w:rPr>
              <w:t>dane osobowe przetwarzane w celach określonych w ust. 2 przez okres ustalony</w:t>
            </w:r>
            <w:r>
              <w:rPr>
                <w:rFonts w:ascii="Times New Roman" w:hAnsi="Times New Roman" w:cs="Times New Roman"/>
              </w:rPr>
              <w:t xml:space="preserve"> </w:t>
            </w:r>
            <w:r w:rsidRPr="00834063">
              <w:rPr>
                <w:rFonts w:ascii="Times New Roman" w:hAnsi="Times New Roman" w:cs="Times New Roman"/>
              </w:rPr>
              <w:t>zgodnie z przepisami wydanymi na podstawie art. 6</w:t>
            </w:r>
            <w:r>
              <w:rPr>
                <w:rFonts w:ascii="Times New Roman" w:hAnsi="Times New Roman" w:cs="Times New Roman"/>
              </w:rPr>
              <w:t xml:space="preserve"> ust. 2b ustawy z dnia 14 lipca </w:t>
            </w:r>
            <w:r w:rsidRPr="00834063">
              <w:rPr>
                <w:rFonts w:ascii="Times New Roman" w:hAnsi="Times New Roman" w:cs="Times New Roman"/>
              </w:rPr>
              <w:t>1983 r. o narodowym zasobie archiwalnym i archiwa</w:t>
            </w:r>
            <w:r>
              <w:rPr>
                <w:rFonts w:ascii="Times New Roman" w:hAnsi="Times New Roman" w:cs="Times New Roman"/>
              </w:rPr>
              <w:t xml:space="preserve">ch (Dz. U. z 2020 r. poz. 164). </w:t>
            </w:r>
            <w:r w:rsidRPr="00834063">
              <w:rPr>
                <w:rFonts w:ascii="Times New Roman" w:hAnsi="Times New Roman" w:cs="Times New Roman"/>
              </w:rPr>
              <w:t>Odesłanie do przepisów wydawanych na podst</w:t>
            </w:r>
            <w:r w:rsidR="00FC13FE">
              <w:rPr>
                <w:rFonts w:ascii="Times New Roman" w:hAnsi="Times New Roman" w:cs="Times New Roman"/>
              </w:rPr>
              <w:t>awie art. 6b ust. 2 ww. ustawy</w:t>
            </w:r>
            <w:r>
              <w:rPr>
                <w:rFonts w:ascii="Times New Roman" w:hAnsi="Times New Roman" w:cs="Times New Roman"/>
              </w:rPr>
              <w:t xml:space="preserve"> </w:t>
            </w:r>
            <w:r w:rsidRPr="00834063">
              <w:rPr>
                <w:rFonts w:ascii="Times New Roman" w:hAnsi="Times New Roman" w:cs="Times New Roman"/>
              </w:rPr>
              <w:t>powinno być zastąpione regulacją okresu</w:t>
            </w:r>
            <w:r>
              <w:rPr>
                <w:rFonts w:ascii="Times New Roman" w:hAnsi="Times New Roman" w:cs="Times New Roman"/>
              </w:rPr>
              <w:t xml:space="preserve"> przetwarzania danych osobowych </w:t>
            </w:r>
            <w:r w:rsidRPr="00834063">
              <w:rPr>
                <w:rFonts w:ascii="Times New Roman" w:hAnsi="Times New Roman" w:cs="Times New Roman"/>
              </w:rPr>
              <w:t>wynikającą wprost z przepisów projektowanej us</w:t>
            </w:r>
            <w:r>
              <w:rPr>
                <w:rFonts w:ascii="Times New Roman" w:hAnsi="Times New Roman" w:cs="Times New Roman"/>
              </w:rPr>
              <w:t xml:space="preserve">tawy, z zapewnieniem stosowania </w:t>
            </w:r>
            <w:r w:rsidRPr="00834063">
              <w:rPr>
                <w:rFonts w:ascii="Times New Roman" w:hAnsi="Times New Roman" w:cs="Times New Roman"/>
              </w:rPr>
              <w:t>zasad dotyczących przetwarzania danych os</w:t>
            </w:r>
            <w:r>
              <w:rPr>
                <w:rFonts w:ascii="Times New Roman" w:hAnsi="Times New Roman" w:cs="Times New Roman"/>
              </w:rPr>
              <w:t xml:space="preserve">obowych, w szczególności zasady </w:t>
            </w:r>
            <w:r w:rsidRPr="00834063">
              <w:rPr>
                <w:rFonts w:ascii="Times New Roman" w:hAnsi="Times New Roman" w:cs="Times New Roman"/>
              </w:rPr>
              <w:t>ogra</w:t>
            </w:r>
            <w:r>
              <w:rPr>
                <w:rFonts w:ascii="Times New Roman" w:hAnsi="Times New Roman" w:cs="Times New Roman"/>
              </w:rPr>
              <w:t xml:space="preserve">niczenia przechowywania (art. 5 </w:t>
            </w:r>
            <w:r w:rsidRPr="00834063">
              <w:rPr>
                <w:rFonts w:ascii="Times New Roman" w:hAnsi="Times New Roman" w:cs="Times New Roman"/>
              </w:rPr>
              <w:t>rozporządzenia 2016/679).</w:t>
            </w:r>
          </w:p>
        </w:tc>
        <w:tc>
          <w:tcPr>
            <w:tcW w:w="4785" w:type="dxa"/>
            <w:shd w:val="clear" w:color="auto" w:fill="auto"/>
          </w:tcPr>
          <w:p w:rsidR="0004098A" w:rsidRDefault="0004098A" w:rsidP="00672C60">
            <w:pPr>
              <w:rPr>
                <w:rFonts w:ascii="Times New Roman" w:hAnsi="Times New Roman" w:cs="Times New Roman"/>
              </w:rPr>
            </w:pPr>
            <w:r>
              <w:rPr>
                <w:rFonts w:ascii="Times New Roman" w:hAnsi="Times New Roman" w:cs="Times New Roman"/>
              </w:rPr>
              <w:t>Uwaga wyjaśniona</w:t>
            </w:r>
          </w:p>
          <w:p w:rsidR="00DC63F0" w:rsidRPr="005872A5" w:rsidRDefault="00416753" w:rsidP="0004098A">
            <w:pPr>
              <w:jc w:val="both"/>
              <w:rPr>
                <w:rFonts w:ascii="Times New Roman" w:hAnsi="Times New Roman" w:cs="Times New Roman"/>
              </w:rPr>
            </w:pPr>
            <w:r>
              <w:rPr>
                <w:rFonts w:ascii="Times New Roman" w:hAnsi="Times New Roman" w:cs="Times New Roman"/>
              </w:rPr>
              <w:t>K</w:t>
            </w:r>
            <w:r w:rsidRPr="00416753">
              <w:rPr>
                <w:rFonts w:ascii="Times New Roman" w:hAnsi="Times New Roman" w:cs="Times New Roman"/>
              </w:rPr>
              <w:t>onstrukcja przepisu jest wzorowana na przepisach ustawy z dnia 21 lutego 2019 r. o zmianie niektórych ustaw w związku z zapewnieniem stosowania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poz. 730). Analogiczne odesłanie znajduje się w art. 12, 51, 87 przywołanej ustawy. Zgodnie z uzasadnieniem do projektu ustawy z dnia 21 lutego 2019 r. „Celem projektu ustawy jest dostosowanie polskiego porządku prawnego do RODO m.in. przez usunięcie przepisów, które są sprzeczne z RODO lub które powielają rozwiązania RODO. Celem projektu ustawy jest także dostosowanie RODO (przez implementację wymagających tego przepisów) do specyfiki polskiego porządku prawnego.”. Mając na uwadze powyższe, zawarte w projektowanym art. 13me ust. 3 ustawy o drogach publicznych odesłanie jest zgodne z przepisami rozporządzenia 2016/679.</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Art. 1 pkt 8</w:t>
            </w:r>
          </w:p>
        </w:tc>
        <w:tc>
          <w:tcPr>
            <w:tcW w:w="6663" w:type="dxa"/>
            <w:shd w:val="clear" w:color="auto" w:fill="auto"/>
          </w:tcPr>
          <w:p w:rsidR="00DC63F0" w:rsidRPr="005872A5" w:rsidRDefault="00834063" w:rsidP="00834063">
            <w:pPr>
              <w:jc w:val="both"/>
              <w:rPr>
                <w:rFonts w:ascii="Times New Roman" w:hAnsi="Times New Roman" w:cs="Times New Roman"/>
              </w:rPr>
            </w:pPr>
            <w:r w:rsidRPr="00834063">
              <w:rPr>
                <w:rFonts w:ascii="Times New Roman" w:hAnsi="Times New Roman" w:cs="Times New Roman"/>
              </w:rPr>
              <w:t>Odnosząc się do propozycji brzmienia art. 1</w:t>
            </w:r>
            <w:r>
              <w:rPr>
                <w:rFonts w:ascii="Times New Roman" w:hAnsi="Times New Roman" w:cs="Times New Roman"/>
              </w:rPr>
              <w:t xml:space="preserve">3me ust. 4 co do tego, że każda </w:t>
            </w:r>
            <w:r w:rsidRPr="00834063">
              <w:rPr>
                <w:rFonts w:ascii="Times New Roman" w:hAnsi="Times New Roman" w:cs="Times New Roman"/>
              </w:rPr>
              <w:t>zainteresowana osoba ma prawo do uzyskania info</w:t>
            </w:r>
            <w:r>
              <w:rPr>
                <w:rFonts w:ascii="Times New Roman" w:hAnsi="Times New Roman" w:cs="Times New Roman"/>
              </w:rPr>
              <w:t xml:space="preserve">rmacji na temat własnych danych </w:t>
            </w:r>
            <w:r w:rsidRPr="00834063">
              <w:rPr>
                <w:rFonts w:ascii="Times New Roman" w:hAnsi="Times New Roman" w:cs="Times New Roman"/>
              </w:rPr>
              <w:t>osobowych, które zostały przekazane innemu p</w:t>
            </w:r>
            <w:r>
              <w:rPr>
                <w:rFonts w:ascii="Times New Roman" w:hAnsi="Times New Roman" w:cs="Times New Roman"/>
              </w:rPr>
              <w:t xml:space="preserve">aństwu członkowskiemu, zauważyć </w:t>
            </w:r>
            <w:r w:rsidRPr="00834063">
              <w:rPr>
                <w:rFonts w:ascii="Times New Roman" w:hAnsi="Times New Roman" w:cs="Times New Roman"/>
              </w:rPr>
              <w:t>należy, że prawo dostępu do danych osobowych przysługuje osobom, których dane</w:t>
            </w:r>
            <w:r>
              <w:rPr>
                <w:rFonts w:ascii="Times New Roman" w:hAnsi="Times New Roman" w:cs="Times New Roman"/>
              </w:rPr>
              <w:t xml:space="preserve"> </w:t>
            </w:r>
            <w:r w:rsidRPr="00834063">
              <w:rPr>
                <w:rFonts w:ascii="Times New Roman" w:hAnsi="Times New Roman" w:cs="Times New Roman"/>
              </w:rPr>
              <w:t xml:space="preserve">dotyczą na mocy </w:t>
            </w:r>
            <w:r w:rsidRPr="00834063">
              <w:rPr>
                <w:rFonts w:ascii="Times New Roman" w:hAnsi="Times New Roman" w:cs="Times New Roman"/>
              </w:rPr>
              <w:lastRenderedPageBreak/>
              <w:t>przepisów rozporządzenia 2016/6</w:t>
            </w:r>
            <w:r>
              <w:rPr>
                <w:rFonts w:ascii="Times New Roman" w:hAnsi="Times New Roman" w:cs="Times New Roman"/>
              </w:rPr>
              <w:t xml:space="preserve">79. Rozporządzenie to przyznaje </w:t>
            </w:r>
            <w:r w:rsidRPr="00834063">
              <w:rPr>
                <w:rFonts w:ascii="Times New Roman" w:hAnsi="Times New Roman" w:cs="Times New Roman"/>
              </w:rPr>
              <w:t>tym osobom także szereg innych praw, w tym p</w:t>
            </w:r>
            <w:r>
              <w:rPr>
                <w:rFonts w:ascii="Times New Roman" w:hAnsi="Times New Roman" w:cs="Times New Roman"/>
              </w:rPr>
              <w:t xml:space="preserve">rawo nie tylko prawo dostępu do </w:t>
            </w:r>
            <w:r w:rsidRPr="00834063">
              <w:rPr>
                <w:rFonts w:ascii="Times New Roman" w:hAnsi="Times New Roman" w:cs="Times New Roman"/>
              </w:rPr>
              <w:t>danych osobowych ale i do ich kopii. Ww. w</w:t>
            </w:r>
            <w:r>
              <w:rPr>
                <w:rFonts w:ascii="Times New Roman" w:hAnsi="Times New Roman" w:cs="Times New Roman"/>
              </w:rPr>
              <w:t xml:space="preserve">yróżnienie w projekcie ustawy w </w:t>
            </w:r>
            <w:r w:rsidRPr="00834063">
              <w:rPr>
                <w:rFonts w:ascii="Times New Roman" w:hAnsi="Times New Roman" w:cs="Times New Roman"/>
              </w:rPr>
              <w:t xml:space="preserve">zakresie prawa do uzyskania informacji na temat </w:t>
            </w:r>
            <w:r>
              <w:rPr>
                <w:rFonts w:ascii="Times New Roman" w:hAnsi="Times New Roman" w:cs="Times New Roman"/>
              </w:rPr>
              <w:t xml:space="preserve">własnych danych z jednej strony </w:t>
            </w:r>
            <w:r w:rsidRPr="00834063">
              <w:rPr>
                <w:rFonts w:ascii="Times New Roman" w:hAnsi="Times New Roman" w:cs="Times New Roman"/>
              </w:rPr>
              <w:t>stanowi powtórzenie przepisów rozporządzenia</w:t>
            </w:r>
            <w:r>
              <w:rPr>
                <w:rFonts w:ascii="Times New Roman" w:hAnsi="Times New Roman" w:cs="Times New Roman"/>
              </w:rPr>
              <w:t xml:space="preserve"> 2016/679, które i tak mają być </w:t>
            </w:r>
            <w:r w:rsidRPr="00834063">
              <w:rPr>
                <w:rFonts w:ascii="Times New Roman" w:hAnsi="Times New Roman" w:cs="Times New Roman"/>
              </w:rPr>
              <w:t>stosowane bezpośrednio, z drugiej strony sugeruje, że inne prawa os</w:t>
            </w:r>
            <w:r>
              <w:rPr>
                <w:rFonts w:ascii="Times New Roman" w:hAnsi="Times New Roman" w:cs="Times New Roman"/>
              </w:rPr>
              <w:t xml:space="preserve">ób, których dane </w:t>
            </w:r>
            <w:r w:rsidRPr="00834063">
              <w:rPr>
                <w:rFonts w:ascii="Times New Roman" w:hAnsi="Times New Roman" w:cs="Times New Roman"/>
              </w:rPr>
              <w:t>dotyczą, przysługujące mocą przepisów r</w:t>
            </w:r>
            <w:r>
              <w:rPr>
                <w:rFonts w:ascii="Times New Roman" w:hAnsi="Times New Roman" w:cs="Times New Roman"/>
              </w:rPr>
              <w:t xml:space="preserve">ozporządzenia 2016/679 nie mają </w:t>
            </w:r>
            <w:r w:rsidRPr="00834063">
              <w:rPr>
                <w:rFonts w:ascii="Times New Roman" w:hAnsi="Times New Roman" w:cs="Times New Roman"/>
              </w:rPr>
              <w:t>zastosowania. Takie ograniczenie praw byłoby roz</w:t>
            </w:r>
            <w:r>
              <w:rPr>
                <w:rFonts w:ascii="Times New Roman" w:hAnsi="Times New Roman" w:cs="Times New Roman"/>
              </w:rPr>
              <w:t xml:space="preserve">wiązaniem niedopuszczalnym. Pod </w:t>
            </w:r>
            <w:r w:rsidRPr="00834063">
              <w:rPr>
                <w:rFonts w:ascii="Times New Roman" w:hAnsi="Times New Roman" w:cs="Times New Roman"/>
              </w:rPr>
              <w:t xml:space="preserve">rozwagę Projektodawcy należy zatem wskazać, </w:t>
            </w:r>
            <w:r>
              <w:rPr>
                <w:rFonts w:ascii="Times New Roman" w:hAnsi="Times New Roman" w:cs="Times New Roman"/>
              </w:rPr>
              <w:t xml:space="preserve">że ewentualne ograniczenie tych </w:t>
            </w:r>
            <w:r w:rsidRPr="00834063">
              <w:rPr>
                <w:rFonts w:ascii="Times New Roman" w:hAnsi="Times New Roman" w:cs="Times New Roman"/>
              </w:rPr>
              <w:t>praw, może następować tylko zgodnie z przepi</w:t>
            </w:r>
            <w:r>
              <w:rPr>
                <w:rFonts w:ascii="Times New Roman" w:hAnsi="Times New Roman" w:cs="Times New Roman"/>
              </w:rPr>
              <w:t xml:space="preserve">sami rozporządzenia 2016/679, w </w:t>
            </w:r>
            <w:r w:rsidRPr="00834063">
              <w:rPr>
                <w:rFonts w:ascii="Times New Roman" w:hAnsi="Times New Roman" w:cs="Times New Roman"/>
              </w:rPr>
              <w:t>szczególności na zasadach wynikających z art. 23 rozporządzenia.</w:t>
            </w:r>
          </w:p>
        </w:tc>
        <w:tc>
          <w:tcPr>
            <w:tcW w:w="4785" w:type="dxa"/>
            <w:shd w:val="clear" w:color="auto" w:fill="auto"/>
          </w:tcPr>
          <w:p w:rsidR="00DC63F0" w:rsidRDefault="00416753" w:rsidP="00672C60">
            <w:pPr>
              <w:rPr>
                <w:rFonts w:ascii="Times New Roman" w:hAnsi="Times New Roman" w:cs="Times New Roman"/>
              </w:rPr>
            </w:pPr>
            <w:r>
              <w:rPr>
                <w:rFonts w:ascii="Times New Roman" w:hAnsi="Times New Roman" w:cs="Times New Roman"/>
              </w:rPr>
              <w:lastRenderedPageBreak/>
              <w:t>Uwaga uwzględniona.</w:t>
            </w:r>
          </w:p>
          <w:p w:rsidR="00416753" w:rsidRPr="005872A5" w:rsidRDefault="00416753" w:rsidP="00672C60">
            <w:pPr>
              <w:rPr>
                <w:rFonts w:ascii="Times New Roman" w:hAnsi="Times New Roman" w:cs="Times New Roman"/>
              </w:rPr>
            </w:pPr>
            <w:r>
              <w:rPr>
                <w:rFonts w:ascii="Times New Roman" w:hAnsi="Times New Roman" w:cs="Times New Roman"/>
              </w:rPr>
              <w:t>Przepis usunięto z projektu.</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Art. 1 pkt 8</w:t>
            </w:r>
          </w:p>
        </w:tc>
        <w:tc>
          <w:tcPr>
            <w:tcW w:w="6663" w:type="dxa"/>
            <w:shd w:val="clear" w:color="auto" w:fill="auto"/>
          </w:tcPr>
          <w:p w:rsidR="00DC63F0" w:rsidRPr="005872A5" w:rsidRDefault="00834063" w:rsidP="00834063">
            <w:pPr>
              <w:jc w:val="both"/>
              <w:rPr>
                <w:rFonts w:ascii="Times New Roman" w:hAnsi="Times New Roman" w:cs="Times New Roman"/>
              </w:rPr>
            </w:pPr>
            <w:r w:rsidRPr="00834063">
              <w:rPr>
                <w:rFonts w:ascii="Times New Roman" w:hAnsi="Times New Roman" w:cs="Times New Roman"/>
              </w:rPr>
              <w:t>Wyjaśnienia wymaga także proponowane brzmienie</w:t>
            </w:r>
            <w:r>
              <w:rPr>
                <w:rFonts w:ascii="Times New Roman" w:hAnsi="Times New Roman" w:cs="Times New Roman"/>
              </w:rPr>
              <w:t xml:space="preserve"> art. 13me ust. 5 określającego </w:t>
            </w:r>
            <w:r w:rsidRPr="00834063">
              <w:rPr>
                <w:rFonts w:ascii="Times New Roman" w:hAnsi="Times New Roman" w:cs="Times New Roman"/>
              </w:rPr>
              <w:t>elementy, które stanowić będą zabezpieczenia zapobiegające nadużyciom lub</w:t>
            </w:r>
            <w:r>
              <w:t xml:space="preserve"> </w:t>
            </w:r>
            <w:r w:rsidRPr="00834063">
              <w:rPr>
                <w:rFonts w:ascii="Times New Roman" w:hAnsi="Times New Roman" w:cs="Times New Roman"/>
              </w:rPr>
              <w:t>niezgodnemu z prawem dostępowi lub</w:t>
            </w:r>
            <w:r>
              <w:rPr>
                <w:rFonts w:ascii="Times New Roman" w:hAnsi="Times New Roman" w:cs="Times New Roman"/>
              </w:rPr>
              <w:t xml:space="preserve"> przekazywaniu danych osobowych </w:t>
            </w:r>
            <w:r w:rsidRPr="00834063">
              <w:rPr>
                <w:rFonts w:ascii="Times New Roman" w:hAnsi="Times New Roman" w:cs="Times New Roman"/>
              </w:rPr>
              <w:t>przetwarzanych w ramach transgranicznej w</w:t>
            </w:r>
            <w:r>
              <w:rPr>
                <w:rFonts w:ascii="Times New Roman" w:hAnsi="Times New Roman" w:cs="Times New Roman"/>
              </w:rPr>
              <w:t xml:space="preserve">ymiany informacji. Dane osobowe </w:t>
            </w:r>
            <w:r w:rsidRPr="00834063">
              <w:rPr>
                <w:rFonts w:ascii="Times New Roman" w:hAnsi="Times New Roman" w:cs="Times New Roman"/>
              </w:rPr>
              <w:t>powinny być odpowiednio zabezpieczone nie tylko p</w:t>
            </w:r>
            <w:r>
              <w:rPr>
                <w:rFonts w:ascii="Times New Roman" w:hAnsi="Times New Roman" w:cs="Times New Roman"/>
              </w:rPr>
              <w:t xml:space="preserve">rzed nadużyciami i dostępem lub </w:t>
            </w:r>
            <w:r w:rsidRPr="00834063">
              <w:rPr>
                <w:rFonts w:ascii="Times New Roman" w:hAnsi="Times New Roman" w:cs="Times New Roman"/>
              </w:rPr>
              <w:t>niewłaściwym przekazywaniem, ale także pr</w:t>
            </w:r>
            <w:r>
              <w:rPr>
                <w:rFonts w:ascii="Times New Roman" w:hAnsi="Times New Roman" w:cs="Times New Roman"/>
              </w:rPr>
              <w:t xml:space="preserve">zed wieloma innymi czynnikami i </w:t>
            </w:r>
            <w:r w:rsidRPr="00834063">
              <w:rPr>
                <w:rFonts w:ascii="Times New Roman" w:hAnsi="Times New Roman" w:cs="Times New Roman"/>
              </w:rPr>
              <w:t>ryzykami, a przepisy prawa powinny przewidy</w:t>
            </w:r>
            <w:r>
              <w:rPr>
                <w:rFonts w:ascii="Times New Roman" w:hAnsi="Times New Roman" w:cs="Times New Roman"/>
              </w:rPr>
              <w:t xml:space="preserve">wać konkretne rozwiązania w tym </w:t>
            </w:r>
            <w:r w:rsidRPr="00834063">
              <w:rPr>
                <w:rFonts w:ascii="Times New Roman" w:hAnsi="Times New Roman" w:cs="Times New Roman"/>
              </w:rPr>
              <w:t>zakresie albo wskazywać kryteria, którym zabezpieczenia te powinny odpowiadać.</w:t>
            </w:r>
          </w:p>
        </w:tc>
        <w:tc>
          <w:tcPr>
            <w:tcW w:w="4785" w:type="dxa"/>
            <w:shd w:val="clear" w:color="auto" w:fill="auto"/>
          </w:tcPr>
          <w:p w:rsidR="00416753" w:rsidRPr="00416753" w:rsidRDefault="00416753" w:rsidP="00416753">
            <w:pPr>
              <w:rPr>
                <w:rFonts w:ascii="Times New Roman" w:hAnsi="Times New Roman" w:cs="Times New Roman"/>
              </w:rPr>
            </w:pPr>
            <w:r w:rsidRPr="00416753">
              <w:rPr>
                <w:rFonts w:ascii="Times New Roman" w:hAnsi="Times New Roman" w:cs="Times New Roman"/>
              </w:rPr>
              <w:t>Uwaga uwzględniona.</w:t>
            </w:r>
          </w:p>
          <w:p w:rsidR="00416753" w:rsidRPr="00416753" w:rsidRDefault="00416753" w:rsidP="00416753">
            <w:pPr>
              <w:rPr>
                <w:rFonts w:ascii="Times New Roman" w:hAnsi="Times New Roman" w:cs="Times New Roman"/>
              </w:rPr>
            </w:pPr>
            <w:r w:rsidRPr="00416753">
              <w:rPr>
                <w:rFonts w:ascii="Times New Roman" w:hAnsi="Times New Roman" w:cs="Times New Roman"/>
              </w:rPr>
              <w:t>Przepis zmieniony poprzez nadanie następującego brzmienia:</w:t>
            </w:r>
          </w:p>
          <w:p w:rsidR="00DC63F0" w:rsidRPr="005872A5" w:rsidRDefault="00416753" w:rsidP="0004098A">
            <w:pPr>
              <w:jc w:val="both"/>
              <w:rPr>
                <w:rFonts w:ascii="Times New Roman" w:hAnsi="Times New Roman" w:cs="Times New Roman"/>
              </w:rPr>
            </w:pPr>
            <w:r w:rsidRPr="00416753">
              <w:rPr>
                <w:rFonts w:ascii="Times New Roman" w:hAnsi="Times New Roman" w:cs="Times New Roman"/>
              </w:rPr>
              <w:t>„Do ochrony danych osobowych przetwarzanych w ramach transgranicznej wymiany informacji stosuje się art. 39 ustawy z dnia 14 grudnia 2019 r. o ochronie danych osobowych przetwarzanych w związku z zapobieganiem i zwalczaniem przestępczości (Dz. U. z 2019 r. poz. 125).”.</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834063"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7127BE" w:rsidRDefault="006472B0" w:rsidP="00672C60">
            <w:pPr>
              <w:rPr>
                <w:rFonts w:ascii="Times New Roman" w:hAnsi="Times New Roman" w:cs="Times New Roman"/>
                <w:lang w:val="en-GB"/>
              </w:rPr>
            </w:pPr>
            <w:r w:rsidRPr="007127BE">
              <w:rPr>
                <w:rFonts w:ascii="Times New Roman" w:hAnsi="Times New Roman" w:cs="Times New Roman"/>
                <w:lang w:val="en-GB"/>
              </w:rPr>
              <w:t xml:space="preserve">Art.1 pkt 13 lit. a tiret trzecie </w:t>
            </w:r>
          </w:p>
        </w:tc>
        <w:tc>
          <w:tcPr>
            <w:tcW w:w="6663" w:type="dxa"/>
            <w:shd w:val="clear" w:color="auto" w:fill="auto"/>
          </w:tcPr>
          <w:p w:rsidR="00834063" w:rsidRPr="00834063" w:rsidRDefault="00834063" w:rsidP="00834063">
            <w:pPr>
              <w:jc w:val="both"/>
              <w:rPr>
                <w:rFonts w:ascii="Times New Roman" w:hAnsi="Times New Roman" w:cs="Times New Roman"/>
              </w:rPr>
            </w:pPr>
            <w:r w:rsidRPr="00834063">
              <w:rPr>
                <w:rFonts w:ascii="Times New Roman" w:hAnsi="Times New Roman" w:cs="Times New Roman"/>
              </w:rPr>
              <w:t>W dodawanym do ustawy o drogach publicznych ar</w:t>
            </w:r>
            <w:r>
              <w:rPr>
                <w:rFonts w:ascii="Times New Roman" w:hAnsi="Times New Roman" w:cs="Times New Roman"/>
              </w:rPr>
              <w:t xml:space="preserve">t. 16i ust. 1 pkt 2a przewiduje </w:t>
            </w:r>
            <w:r w:rsidRPr="00834063">
              <w:rPr>
                <w:rFonts w:ascii="Times New Roman" w:hAnsi="Times New Roman" w:cs="Times New Roman"/>
              </w:rPr>
              <w:t>się, że dostawca EETS przekazuje krajowemu po</w:t>
            </w:r>
            <w:r>
              <w:rPr>
                <w:rFonts w:ascii="Times New Roman" w:hAnsi="Times New Roman" w:cs="Times New Roman"/>
              </w:rPr>
              <w:t xml:space="preserve">miotowi pobierającemu opłaty na </w:t>
            </w:r>
            <w:r w:rsidRPr="00834063">
              <w:rPr>
                <w:rFonts w:ascii="Times New Roman" w:hAnsi="Times New Roman" w:cs="Times New Roman"/>
              </w:rPr>
              <w:t>obszarze EETS, z którym zawarł umowę dotyc</w:t>
            </w:r>
            <w:r>
              <w:rPr>
                <w:rFonts w:ascii="Times New Roman" w:hAnsi="Times New Roman" w:cs="Times New Roman"/>
              </w:rPr>
              <w:t xml:space="preserve">zącą obszaru EETS, dane osobowe </w:t>
            </w:r>
            <w:r w:rsidRPr="00834063">
              <w:rPr>
                <w:rFonts w:ascii="Times New Roman" w:hAnsi="Times New Roman" w:cs="Times New Roman"/>
              </w:rPr>
              <w:t>użytkownika EETS i pojazdu należącego do tego użytkownika, w zakresie niezbędnym</w:t>
            </w:r>
            <w:r>
              <w:rPr>
                <w:rFonts w:ascii="Times New Roman" w:hAnsi="Times New Roman" w:cs="Times New Roman"/>
              </w:rPr>
              <w:t xml:space="preserve"> </w:t>
            </w:r>
            <w:r w:rsidRPr="00834063">
              <w:rPr>
                <w:rFonts w:ascii="Times New Roman" w:hAnsi="Times New Roman" w:cs="Times New Roman"/>
              </w:rPr>
              <w:t>do wykonania obowiązku podatkowego ciążącego na administratorze.</w:t>
            </w:r>
            <w:r>
              <w:rPr>
                <w:rFonts w:ascii="Times New Roman" w:hAnsi="Times New Roman" w:cs="Times New Roman"/>
              </w:rPr>
              <w:t xml:space="preserve"> </w:t>
            </w:r>
            <w:r w:rsidRPr="00834063">
              <w:rPr>
                <w:rFonts w:ascii="Times New Roman" w:hAnsi="Times New Roman" w:cs="Times New Roman"/>
              </w:rPr>
              <w:t xml:space="preserve">Doprecyzowania wymaga, jakie konkretnie dane </w:t>
            </w:r>
            <w:r>
              <w:rPr>
                <w:rFonts w:ascii="Times New Roman" w:hAnsi="Times New Roman" w:cs="Times New Roman"/>
              </w:rPr>
              <w:t xml:space="preserve">osobowe będą przekazywane przez </w:t>
            </w:r>
            <w:r w:rsidRPr="00834063">
              <w:rPr>
                <w:rFonts w:ascii="Times New Roman" w:hAnsi="Times New Roman" w:cs="Times New Roman"/>
              </w:rPr>
              <w:t>dostawcę EETS krajowemu podmiotowi pob</w:t>
            </w:r>
            <w:r>
              <w:rPr>
                <w:rFonts w:ascii="Times New Roman" w:hAnsi="Times New Roman" w:cs="Times New Roman"/>
              </w:rPr>
              <w:t xml:space="preserve">ierającemu opłaty – ustawodawca </w:t>
            </w:r>
            <w:r w:rsidRPr="00834063">
              <w:rPr>
                <w:rFonts w:ascii="Times New Roman" w:hAnsi="Times New Roman" w:cs="Times New Roman"/>
              </w:rPr>
              <w:t>powinien precyzyjnie wskazać zakres danych osob</w:t>
            </w:r>
            <w:r>
              <w:rPr>
                <w:rFonts w:ascii="Times New Roman" w:hAnsi="Times New Roman" w:cs="Times New Roman"/>
              </w:rPr>
              <w:t xml:space="preserve">owych niezbędny i wystarczający </w:t>
            </w:r>
            <w:r w:rsidRPr="00834063">
              <w:rPr>
                <w:rFonts w:ascii="Times New Roman" w:hAnsi="Times New Roman" w:cs="Times New Roman"/>
              </w:rPr>
              <w:t>dla wskazanego w tym przepisie obo</w:t>
            </w:r>
            <w:r>
              <w:rPr>
                <w:rFonts w:ascii="Times New Roman" w:hAnsi="Times New Roman" w:cs="Times New Roman"/>
              </w:rPr>
              <w:t xml:space="preserve">wiązku podatkowego. Tak ogólnie </w:t>
            </w:r>
            <w:r w:rsidRPr="00834063">
              <w:rPr>
                <w:rFonts w:ascii="Times New Roman" w:hAnsi="Times New Roman" w:cs="Times New Roman"/>
              </w:rPr>
              <w:t>skonstruowany przepis może prowadzić do pozy</w:t>
            </w:r>
            <w:r>
              <w:rPr>
                <w:rFonts w:ascii="Times New Roman" w:hAnsi="Times New Roman" w:cs="Times New Roman"/>
              </w:rPr>
              <w:t xml:space="preserve">skiwania przez krajowe podmioty </w:t>
            </w:r>
            <w:r w:rsidRPr="00834063">
              <w:rPr>
                <w:rFonts w:ascii="Times New Roman" w:hAnsi="Times New Roman" w:cs="Times New Roman"/>
              </w:rPr>
              <w:t xml:space="preserve">pobierające opłaty </w:t>
            </w:r>
            <w:r w:rsidRPr="00834063">
              <w:rPr>
                <w:rFonts w:ascii="Times New Roman" w:hAnsi="Times New Roman" w:cs="Times New Roman"/>
              </w:rPr>
              <w:lastRenderedPageBreak/>
              <w:t>nieadekwatnych, nadmiarowych d</w:t>
            </w:r>
            <w:r>
              <w:rPr>
                <w:rFonts w:ascii="Times New Roman" w:hAnsi="Times New Roman" w:cs="Times New Roman"/>
              </w:rPr>
              <w:t xml:space="preserve">anych osobowych. Przepisy </w:t>
            </w:r>
            <w:r w:rsidRPr="00834063">
              <w:rPr>
                <w:rFonts w:ascii="Times New Roman" w:hAnsi="Times New Roman" w:cs="Times New Roman"/>
              </w:rPr>
              <w:t>przyjęte w tym zakresie powinny zapewni</w:t>
            </w:r>
            <w:r>
              <w:rPr>
                <w:rFonts w:ascii="Times New Roman" w:hAnsi="Times New Roman" w:cs="Times New Roman"/>
              </w:rPr>
              <w:t xml:space="preserve">ać stosowanie zasad dotyczących </w:t>
            </w:r>
            <w:r w:rsidRPr="00834063">
              <w:rPr>
                <w:rFonts w:ascii="Times New Roman" w:hAnsi="Times New Roman" w:cs="Times New Roman"/>
              </w:rPr>
              <w:t xml:space="preserve">przetwarzania danych osobowych: ograniczenia celu </w:t>
            </w:r>
            <w:r>
              <w:rPr>
                <w:rFonts w:ascii="Times New Roman" w:hAnsi="Times New Roman" w:cs="Times New Roman"/>
              </w:rPr>
              <w:t xml:space="preserve">oraz minimalizacji danych (art. </w:t>
            </w:r>
            <w:r w:rsidRPr="00834063">
              <w:rPr>
                <w:rFonts w:ascii="Times New Roman" w:hAnsi="Times New Roman" w:cs="Times New Roman"/>
              </w:rPr>
              <w:t>5 ust. 1 lit b) i c) rozporządzenia 2016/679). Konieczne jest także doprecyzo</w:t>
            </w:r>
            <w:r>
              <w:rPr>
                <w:rFonts w:ascii="Times New Roman" w:hAnsi="Times New Roman" w:cs="Times New Roman"/>
              </w:rPr>
              <w:t xml:space="preserve">wanie w </w:t>
            </w:r>
            <w:r w:rsidRPr="00834063">
              <w:rPr>
                <w:rFonts w:ascii="Times New Roman" w:hAnsi="Times New Roman" w:cs="Times New Roman"/>
              </w:rPr>
              <w:t>jakim trybie, w jakiej formie oraz w jaki spos</w:t>
            </w:r>
            <w:r>
              <w:rPr>
                <w:rFonts w:ascii="Times New Roman" w:hAnsi="Times New Roman" w:cs="Times New Roman"/>
              </w:rPr>
              <w:t xml:space="preserve">ób przekazywane są przedmiotowe </w:t>
            </w:r>
            <w:r w:rsidRPr="00834063">
              <w:rPr>
                <w:rFonts w:ascii="Times New Roman" w:hAnsi="Times New Roman" w:cs="Times New Roman"/>
              </w:rPr>
              <w:t>dane, celem zapewnienia rozliczalności dla tego proces</w:t>
            </w:r>
            <w:r>
              <w:rPr>
                <w:rFonts w:ascii="Times New Roman" w:hAnsi="Times New Roman" w:cs="Times New Roman"/>
              </w:rPr>
              <w:t xml:space="preserve">u (art. 5 ust. 2 rozporządzenia </w:t>
            </w:r>
            <w:r w:rsidRPr="00834063">
              <w:rPr>
                <w:rFonts w:ascii="Times New Roman" w:hAnsi="Times New Roman" w:cs="Times New Roman"/>
              </w:rPr>
              <w:t>2016/679).</w:t>
            </w:r>
          </w:p>
          <w:p w:rsidR="00DC63F0" w:rsidRPr="005872A5" w:rsidRDefault="00834063" w:rsidP="00834063">
            <w:pPr>
              <w:jc w:val="both"/>
              <w:rPr>
                <w:rFonts w:ascii="Times New Roman" w:hAnsi="Times New Roman" w:cs="Times New Roman"/>
              </w:rPr>
            </w:pPr>
            <w:r w:rsidRPr="00834063">
              <w:rPr>
                <w:rFonts w:ascii="Times New Roman" w:hAnsi="Times New Roman" w:cs="Times New Roman"/>
              </w:rPr>
              <w:t>W tym samym zakresie doprecyzowania wymaga art. 16i ust. 4 projektu ustawy.</w:t>
            </w:r>
          </w:p>
        </w:tc>
        <w:tc>
          <w:tcPr>
            <w:tcW w:w="4785" w:type="dxa"/>
            <w:shd w:val="clear" w:color="auto" w:fill="auto"/>
          </w:tcPr>
          <w:p w:rsidR="0004098A" w:rsidRDefault="0004098A" w:rsidP="0004098A">
            <w:pPr>
              <w:jc w:val="both"/>
              <w:rPr>
                <w:rFonts w:ascii="Times New Roman" w:hAnsi="Times New Roman" w:cs="Times New Roman"/>
              </w:rPr>
            </w:pPr>
            <w:r>
              <w:rPr>
                <w:rFonts w:ascii="Times New Roman" w:hAnsi="Times New Roman" w:cs="Times New Roman"/>
              </w:rPr>
              <w:lastRenderedPageBreak/>
              <w:t>Uwaga wyjaśniona</w:t>
            </w:r>
          </w:p>
          <w:p w:rsidR="00416753" w:rsidRPr="005872A5" w:rsidRDefault="00416753" w:rsidP="0004098A">
            <w:pPr>
              <w:jc w:val="both"/>
              <w:rPr>
                <w:rFonts w:ascii="Times New Roman" w:hAnsi="Times New Roman" w:cs="Times New Roman"/>
              </w:rPr>
            </w:pPr>
            <w:r>
              <w:rPr>
                <w:rFonts w:ascii="Times New Roman" w:hAnsi="Times New Roman" w:cs="Times New Roman"/>
              </w:rPr>
              <w:t>Z</w:t>
            </w:r>
            <w:r w:rsidRPr="00416753">
              <w:rPr>
                <w:rFonts w:ascii="Times New Roman" w:hAnsi="Times New Roman" w:cs="Times New Roman"/>
              </w:rPr>
              <w:t>arówno dostawca EETS, jak i krajowy podmiot pobierający opłaty będzie administratorem danych osobowych, który w przypadku przetwarzania danych osobowych jest odpowiedzialny za stosowanie zasad zawartych w rozporządzeniu 2016/679. Należy podkreślić, że nie można w tym zakresie ustalić katalogu zamkniętego, dane potrzebne do realizacji obowiązków podatkowych wynikają z przepisów prawa podatkowego.</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6472B0"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416753" w:rsidRDefault="006472B0" w:rsidP="00672C60">
            <w:pPr>
              <w:rPr>
                <w:rFonts w:ascii="Times New Roman" w:hAnsi="Times New Roman" w:cs="Times New Roman"/>
              </w:rPr>
            </w:pPr>
            <w:r w:rsidRPr="00416753">
              <w:rPr>
                <w:rFonts w:ascii="Times New Roman" w:hAnsi="Times New Roman" w:cs="Times New Roman"/>
              </w:rPr>
              <w:t>Art. 1 pkt 13lit. a tiret czwarte</w:t>
            </w:r>
          </w:p>
        </w:tc>
        <w:tc>
          <w:tcPr>
            <w:tcW w:w="6663" w:type="dxa"/>
            <w:shd w:val="clear" w:color="auto" w:fill="auto"/>
          </w:tcPr>
          <w:p w:rsidR="006472B0" w:rsidRPr="006472B0" w:rsidRDefault="006472B0" w:rsidP="006472B0">
            <w:pPr>
              <w:jc w:val="both"/>
              <w:rPr>
                <w:rFonts w:ascii="Times New Roman" w:hAnsi="Times New Roman" w:cs="Times New Roman"/>
              </w:rPr>
            </w:pPr>
            <w:r w:rsidRPr="006472B0">
              <w:rPr>
                <w:rFonts w:ascii="Times New Roman" w:hAnsi="Times New Roman" w:cs="Times New Roman"/>
              </w:rPr>
              <w:t>W proponowanym brzmieniu art. 16i u</w:t>
            </w:r>
            <w:r>
              <w:rPr>
                <w:rFonts w:ascii="Times New Roman" w:hAnsi="Times New Roman" w:cs="Times New Roman"/>
              </w:rPr>
              <w:t xml:space="preserve">st. 1 pkt 4) dostawca EETS jest </w:t>
            </w:r>
            <w:r w:rsidRPr="006472B0">
              <w:rPr>
                <w:rFonts w:ascii="Times New Roman" w:hAnsi="Times New Roman" w:cs="Times New Roman"/>
              </w:rPr>
              <w:t>zobowiązany współpracować z podm</w:t>
            </w:r>
            <w:r>
              <w:rPr>
                <w:rFonts w:ascii="Times New Roman" w:hAnsi="Times New Roman" w:cs="Times New Roman"/>
              </w:rPr>
              <w:t xml:space="preserve">iotami uprawnionymi do kontroli </w:t>
            </w:r>
            <w:r w:rsidRPr="006472B0">
              <w:rPr>
                <w:rFonts w:ascii="Times New Roman" w:hAnsi="Times New Roman" w:cs="Times New Roman"/>
              </w:rPr>
              <w:t>prawidłowości: a) uiszczania opłaty elektroniczn</w:t>
            </w:r>
            <w:r>
              <w:rPr>
                <w:rFonts w:ascii="Times New Roman" w:hAnsi="Times New Roman" w:cs="Times New Roman"/>
              </w:rPr>
              <w:t xml:space="preserve">ej, b) wnoszenia elektronicznej </w:t>
            </w:r>
            <w:r w:rsidRPr="006472B0">
              <w:rPr>
                <w:rFonts w:ascii="Times New Roman" w:hAnsi="Times New Roman" w:cs="Times New Roman"/>
              </w:rPr>
              <w:t>opłaty autostradowej – w tym natychmiastowo pr</w:t>
            </w:r>
            <w:r>
              <w:rPr>
                <w:rFonts w:ascii="Times New Roman" w:hAnsi="Times New Roman" w:cs="Times New Roman"/>
              </w:rPr>
              <w:t xml:space="preserve">zekazywać tym podmiotom, na ich </w:t>
            </w:r>
            <w:r w:rsidRPr="006472B0">
              <w:rPr>
                <w:rFonts w:ascii="Times New Roman" w:hAnsi="Times New Roman" w:cs="Times New Roman"/>
              </w:rPr>
              <w:t>żądanie, za pośrednictwem środków komunikacji el</w:t>
            </w:r>
            <w:r>
              <w:rPr>
                <w:rFonts w:ascii="Times New Roman" w:hAnsi="Times New Roman" w:cs="Times New Roman"/>
              </w:rPr>
              <w:t xml:space="preserve">ektronicznej, dane użytkowników </w:t>
            </w:r>
            <w:r w:rsidRPr="006472B0">
              <w:rPr>
                <w:rFonts w:ascii="Times New Roman" w:hAnsi="Times New Roman" w:cs="Times New Roman"/>
              </w:rPr>
              <w:t>EETS naruszających obowiązki uiszczenia opłaty elektronicznej lub obowiązek</w:t>
            </w:r>
          </w:p>
          <w:p w:rsidR="006472B0" w:rsidRPr="006472B0" w:rsidRDefault="006472B0" w:rsidP="006472B0">
            <w:pPr>
              <w:jc w:val="both"/>
              <w:rPr>
                <w:rFonts w:ascii="Times New Roman" w:hAnsi="Times New Roman" w:cs="Times New Roman"/>
              </w:rPr>
            </w:pPr>
            <w:r w:rsidRPr="006472B0">
              <w:rPr>
                <w:rFonts w:ascii="Times New Roman" w:hAnsi="Times New Roman" w:cs="Times New Roman"/>
              </w:rPr>
              <w:t>wniesienia elektronicznej opłaty autostradowej</w:t>
            </w:r>
            <w:r>
              <w:rPr>
                <w:rFonts w:ascii="Times New Roman" w:hAnsi="Times New Roman" w:cs="Times New Roman"/>
              </w:rPr>
              <w:t xml:space="preserve"> oraz dane pojazdu stanowiącego </w:t>
            </w:r>
            <w:r w:rsidRPr="006472B0">
              <w:rPr>
                <w:rFonts w:ascii="Times New Roman" w:hAnsi="Times New Roman" w:cs="Times New Roman"/>
              </w:rPr>
              <w:t>własność użytkownika EETS lub znaj</w:t>
            </w:r>
            <w:r>
              <w:rPr>
                <w:rFonts w:ascii="Times New Roman" w:hAnsi="Times New Roman" w:cs="Times New Roman"/>
              </w:rPr>
              <w:t xml:space="preserve">dującego się w jego posiadaniu. </w:t>
            </w:r>
            <w:r w:rsidRPr="006472B0">
              <w:rPr>
                <w:rFonts w:ascii="Times New Roman" w:hAnsi="Times New Roman" w:cs="Times New Roman"/>
              </w:rPr>
              <w:t>Doprecyzowania wymaga jakie konkretnie dane osobowe użytkowników EETS –</w:t>
            </w:r>
            <w:r>
              <w:rPr>
                <w:rFonts w:ascii="Times New Roman" w:hAnsi="Times New Roman" w:cs="Times New Roman"/>
              </w:rPr>
              <w:t xml:space="preserve"> </w:t>
            </w:r>
            <w:r w:rsidRPr="006472B0">
              <w:rPr>
                <w:rFonts w:ascii="Times New Roman" w:hAnsi="Times New Roman" w:cs="Times New Roman"/>
              </w:rPr>
              <w:t>mocą projektowanego przepisu - będą przekazywane podmiotom uprawnionym do</w:t>
            </w:r>
            <w:r>
              <w:t xml:space="preserve"> </w:t>
            </w:r>
            <w:r w:rsidRPr="006472B0">
              <w:rPr>
                <w:rFonts w:ascii="Times New Roman" w:hAnsi="Times New Roman" w:cs="Times New Roman"/>
              </w:rPr>
              <w:t xml:space="preserve">kontroli prawidłowości (zasada ograniczenia celu </w:t>
            </w:r>
            <w:r>
              <w:rPr>
                <w:rFonts w:ascii="Times New Roman" w:hAnsi="Times New Roman" w:cs="Times New Roman"/>
              </w:rPr>
              <w:t xml:space="preserve">i minimalizacji danych) oraz na </w:t>
            </w:r>
            <w:r w:rsidRPr="006472B0">
              <w:rPr>
                <w:rFonts w:ascii="Times New Roman" w:hAnsi="Times New Roman" w:cs="Times New Roman"/>
              </w:rPr>
              <w:t>czym konkretnie przedmiotowa współ</w:t>
            </w:r>
            <w:r>
              <w:rPr>
                <w:rFonts w:ascii="Times New Roman" w:hAnsi="Times New Roman" w:cs="Times New Roman"/>
              </w:rPr>
              <w:t xml:space="preserve">praca miałaby polegać pod kątem </w:t>
            </w:r>
            <w:r w:rsidRPr="006472B0">
              <w:rPr>
                <w:rFonts w:ascii="Times New Roman" w:hAnsi="Times New Roman" w:cs="Times New Roman"/>
              </w:rPr>
              <w:t>przetwarzania danych osobowych przez ww. pod</w:t>
            </w:r>
            <w:r>
              <w:rPr>
                <w:rFonts w:ascii="Times New Roman" w:hAnsi="Times New Roman" w:cs="Times New Roman"/>
              </w:rPr>
              <w:t xml:space="preserve">mioty (w jakim trybie dane będą </w:t>
            </w:r>
            <w:r w:rsidRPr="006472B0">
              <w:rPr>
                <w:rFonts w:ascii="Times New Roman" w:hAnsi="Times New Roman" w:cs="Times New Roman"/>
              </w:rPr>
              <w:t>przekazywane – czy będzie t</w:t>
            </w:r>
            <w:r>
              <w:rPr>
                <w:rFonts w:ascii="Times New Roman" w:hAnsi="Times New Roman" w:cs="Times New Roman"/>
              </w:rPr>
              <w:t xml:space="preserve">o tryb bezwnioskowy/wnioskowy). </w:t>
            </w:r>
            <w:r w:rsidRPr="006472B0">
              <w:rPr>
                <w:rFonts w:ascii="Times New Roman" w:hAnsi="Times New Roman" w:cs="Times New Roman"/>
              </w:rPr>
              <w:t>Dodatkowo, z punktu widzenia zgodności z z</w:t>
            </w:r>
            <w:r>
              <w:rPr>
                <w:rFonts w:ascii="Times New Roman" w:hAnsi="Times New Roman" w:cs="Times New Roman"/>
              </w:rPr>
              <w:t xml:space="preserve">asadą poufności i integralności </w:t>
            </w:r>
            <w:r w:rsidRPr="006472B0">
              <w:rPr>
                <w:rFonts w:ascii="Times New Roman" w:hAnsi="Times New Roman" w:cs="Times New Roman"/>
              </w:rPr>
              <w:t xml:space="preserve">określoną w art. 5 ust. 1 lit. f) wątpliwości budzi </w:t>
            </w:r>
            <w:r>
              <w:rPr>
                <w:rFonts w:ascii="Times New Roman" w:hAnsi="Times New Roman" w:cs="Times New Roman"/>
              </w:rPr>
              <w:t xml:space="preserve">propozycja przekazywania danych </w:t>
            </w:r>
            <w:r w:rsidRPr="006472B0">
              <w:rPr>
                <w:rFonts w:ascii="Times New Roman" w:hAnsi="Times New Roman" w:cs="Times New Roman"/>
              </w:rPr>
              <w:t>„za pośrednictwem komunikacji elektronicz</w:t>
            </w:r>
            <w:r>
              <w:rPr>
                <w:rFonts w:ascii="Times New Roman" w:hAnsi="Times New Roman" w:cs="Times New Roman"/>
              </w:rPr>
              <w:t xml:space="preserve">nej”. Przyjęcie takiego sposobu </w:t>
            </w:r>
            <w:r w:rsidRPr="006472B0">
              <w:rPr>
                <w:rFonts w:ascii="Times New Roman" w:hAnsi="Times New Roman" w:cs="Times New Roman"/>
              </w:rPr>
              <w:t>przekazywania danych osobowych jest potencjaln</w:t>
            </w:r>
            <w:r>
              <w:rPr>
                <w:rFonts w:ascii="Times New Roman" w:hAnsi="Times New Roman" w:cs="Times New Roman"/>
              </w:rPr>
              <w:t xml:space="preserve">ie narażone na cyberzagrożenia, </w:t>
            </w:r>
            <w:r w:rsidRPr="006472B0">
              <w:rPr>
                <w:rFonts w:ascii="Times New Roman" w:hAnsi="Times New Roman" w:cs="Times New Roman"/>
              </w:rPr>
              <w:t>wiąże się z ryzykiem niekontrolowanego do</w:t>
            </w:r>
            <w:r>
              <w:rPr>
                <w:rFonts w:ascii="Times New Roman" w:hAnsi="Times New Roman" w:cs="Times New Roman"/>
              </w:rPr>
              <w:t xml:space="preserve">stępu w szczególności do danych </w:t>
            </w:r>
            <w:r w:rsidRPr="006472B0">
              <w:rPr>
                <w:rFonts w:ascii="Times New Roman" w:hAnsi="Times New Roman" w:cs="Times New Roman"/>
              </w:rPr>
              <w:t>osobowych, a w konsekwencji niezgodnego z prawem ich przetwarzania.</w:t>
            </w:r>
          </w:p>
          <w:p w:rsidR="00DC63F0" w:rsidRPr="005872A5" w:rsidRDefault="006472B0" w:rsidP="006472B0">
            <w:pPr>
              <w:jc w:val="both"/>
              <w:rPr>
                <w:rFonts w:ascii="Times New Roman" w:hAnsi="Times New Roman" w:cs="Times New Roman"/>
              </w:rPr>
            </w:pPr>
            <w:r w:rsidRPr="006472B0">
              <w:rPr>
                <w:rFonts w:ascii="Times New Roman" w:hAnsi="Times New Roman" w:cs="Times New Roman"/>
              </w:rPr>
              <w:t>Przekazywanie danych osobowych pomiędzy</w:t>
            </w:r>
            <w:r>
              <w:rPr>
                <w:rFonts w:ascii="Times New Roman" w:hAnsi="Times New Roman" w:cs="Times New Roman"/>
              </w:rPr>
              <w:t xml:space="preserve"> podmiotami publicznymi powinno </w:t>
            </w:r>
            <w:r w:rsidRPr="006472B0">
              <w:rPr>
                <w:rFonts w:ascii="Times New Roman" w:hAnsi="Times New Roman" w:cs="Times New Roman"/>
              </w:rPr>
              <w:t>odbywać się w sposób zapewniający bezpieczeń</w:t>
            </w:r>
            <w:r>
              <w:rPr>
                <w:rFonts w:ascii="Times New Roman" w:hAnsi="Times New Roman" w:cs="Times New Roman"/>
              </w:rPr>
              <w:t xml:space="preserve">stwo tych danych na odpowiednim </w:t>
            </w:r>
            <w:r w:rsidRPr="006472B0">
              <w:rPr>
                <w:rFonts w:ascii="Times New Roman" w:hAnsi="Times New Roman" w:cs="Times New Roman"/>
              </w:rPr>
              <w:t xml:space="preserve">poziomie, na zasadach ściśle określonych </w:t>
            </w:r>
            <w:r w:rsidRPr="006472B0">
              <w:rPr>
                <w:rFonts w:ascii="Times New Roman" w:hAnsi="Times New Roman" w:cs="Times New Roman"/>
              </w:rPr>
              <w:lastRenderedPageBreak/>
              <w:t>przepisa</w:t>
            </w:r>
            <w:r>
              <w:rPr>
                <w:rFonts w:ascii="Times New Roman" w:hAnsi="Times New Roman" w:cs="Times New Roman"/>
              </w:rPr>
              <w:t xml:space="preserve">mi ustawy. Przekazywanie danych </w:t>
            </w:r>
            <w:r w:rsidRPr="006472B0">
              <w:rPr>
                <w:rFonts w:ascii="Times New Roman" w:hAnsi="Times New Roman" w:cs="Times New Roman"/>
              </w:rPr>
              <w:t xml:space="preserve">nie może również prowadzić do łączenia zbiorów </w:t>
            </w:r>
            <w:r>
              <w:rPr>
                <w:rFonts w:ascii="Times New Roman" w:hAnsi="Times New Roman" w:cs="Times New Roman"/>
              </w:rPr>
              <w:t xml:space="preserve">danych – projektodawca powinien </w:t>
            </w:r>
            <w:r w:rsidRPr="006472B0">
              <w:rPr>
                <w:rFonts w:ascii="Times New Roman" w:hAnsi="Times New Roman" w:cs="Times New Roman"/>
              </w:rPr>
              <w:t>zwrócić uwagę na motyw 31 rozporządzenia 201</w:t>
            </w:r>
            <w:r>
              <w:rPr>
                <w:rFonts w:ascii="Times New Roman" w:hAnsi="Times New Roman" w:cs="Times New Roman"/>
              </w:rPr>
              <w:t xml:space="preserve">6/679, który stanowi, że Organy </w:t>
            </w:r>
            <w:r w:rsidRPr="006472B0">
              <w:rPr>
                <w:rFonts w:ascii="Times New Roman" w:hAnsi="Times New Roman" w:cs="Times New Roman"/>
              </w:rPr>
              <w:t>publiczne, którym ujawnia się dane osobowe w zw</w:t>
            </w:r>
            <w:r>
              <w:rPr>
                <w:rFonts w:ascii="Times New Roman" w:hAnsi="Times New Roman" w:cs="Times New Roman"/>
              </w:rPr>
              <w:t xml:space="preserve">iązku z ich prawnym obowiązkiem </w:t>
            </w:r>
            <w:r w:rsidRPr="006472B0">
              <w:rPr>
                <w:rFonts w:ascii="Times New Roman" w:hAnsi="Times New Roman" w:cs="Times New Roman"/>
              </w:rPr>
              <w:t>sprawowania funkcji publicznej (…) nie powinny być tr</w:t>
            </w:r>
            <w:r>
              <w:rPr>
                <w:rFonts w:ascii="Times New Roman" w:hAnsi="Times New Roman" w:cs="Times New Roman"/>
              </w:rPr>
              <w:t xml:space="preserve">aktowane jako odbiorcy, jeżeli </w:t>
            </w:r>
            <w:r w:rsidRPr="006472B0">
              <w:rPr>
                <w:rFonts w:ascii="Times New Roman" w:hAnsi="Times New Roman" w:cs="Times New Roman"/>
              </w:rPr>
              <w:t>otrzymane przez nie dane osobowe są im niezbędne</w:t>
            </w:r>
            <w:r>
              <w:rPr>
                <w:rFonts w:ascii="Times New Roman" w:hAnsi="Times New Roman" w:cs="Times New Roman"/>
              </w:rPr>
              <w:t xml:space="preserve"> do przeprowadzenia określonego </w:t>
            </w:r>
            <w:r w:rsidRPr="006472B0">
              <w:rPr>
                <w:rFonts w:ascii="Times New Roman" w:hAnsi="Times New Roman" w:cs="Times New Roman"/>
              </w:rPr>
              <w:t>postępowania w interesie ogólnym zgodnie z</w:t>
            </w:r>
            <w:r>
              <w:rPr>
                <w:rFonts w:ascii="Times New Roman" w:hAnsi="Times New Roman" w:cs="Times New Roman"/>
              </w:rPr>
              <w:t xml:space="preserve"> prawem Unii lub prawem państwa </w:t>
            </w:r>
            <w:r w:rsidRPr="006472B0">
              <w:rPr>
                <w:rFonts w:ascii="Times New Roman" w:hAnsi="Times New Roman" w:cs="Times New Roman"/>
              </w:rPr>
              <w:t>członkowskiego. Żądanie ujawnienia danych osobowych, z którym występują</w:t>
            </w:r>
            <w:r>
              <w:rPr>
                <w:rFonts w:ascii="Times New Roman" w:hAnsi="Times New Roman" w:cs="Times New Roman"/>
              </w:rPr>
              <w:t xml:space="preserve"> takie </w:t>
            </w:r>
            <w:r w:rsidRPr="006472B0">
              <w:rPr>
                <w:rFonts w:ascii="Times New Roman" w:hAnsi="Times New Roman" w:cs="Times New Roman"/>
              </w:rPr>
              <w:t>organy publiczne, powinno zawsze mieć formę</w:t>
            </w:r>
            <w:r>
              <w:rPr>
                <w:rFonts w:ascii="Times New Roman" w:hAnsi="Times New Roman" w:cs="Times New Roman"/>
              </w:rPr>
              <w:t xml:space="preserve"> pisemną, być uzasadnione, mieć </w:t>
            </w:r>
            <w:r w:rsidRPr="006472B0">
              <w:rPr>
                <w:rFonts w:ascii="Times New Roman" w:hAnsi="Times New Roman" w:cs="Times New Roman"/>
              </w:rPr>
              <w:t>charakter wyjątkowy, nie powinno dotyczyć całego</w:t>
            </w:r>
            <w:r>
              <w:rPr>
                <w:rFonts w:ascii="Times New Roman" w:hAnsi="Times New Roman" w:cs="Times New Roman"/>
              </w:rPr>
              <w:t xml:space="preserve"> zbioru danych ani prowadzić do </w:t>
            </w:r>
            <w:r w:rsidRPr="006472B0">
              <w:rPr>
                <w:rFonts w:ascii="Times New Roman" w:hAnsi="Times New Roman" w:cs="Times New Roman"/>
              </w:rPr>
              <w:t>połączenia zbiorów danych. Przetwarzając otrzymane dane osobowe, takie organy</w:t>
            </w:r>
            <w:r>
              <w:rPr>
                <w:rFonts w:ascii="Times New Roman" w:hAnsi="Times New Roman" w:cs="Times New Roman"/>
              </w:rPr>
              <w:t xml:space="preserve"> </w:t>
            </w:r>
            <w:r w:rsidRPr="006472B0">
              <w:rPr>
                <w:rFonts w:ascii="Times New Roman" w:hAnsi="Times New Roman" w:cs="Times New Roman"/>
              </w:rPr>
              <w:t>powinny przestrzegać mających zastosowanie przep</w:t>
            </w:r>
            <w:r>
              <w:rPr>
                <w:rFonts w:ascii="Times New Roman" w:hAnsi="Times New Roman" w:cs="Times New Roman"/>
              </w:rPr>
              <w:t xml:space="preserve">isów o ochronie danych, zgodnie </w:t>
            </w:r>
            <w:r w:rsidRPr="006472B0">
              <w:rPr>
                <w:rFonts w:ascii="Times New Roman" w:hAnsi="Times New Roman" w:cs="Times New Roman"/>
              </w:rPr>
              <w:t>z celami przetwarzania.</w:t>
            </w:r>
          </w:p>
        </w:tc>
        <w:tc>
          <w:tcPr>
            <w:tcW w:w="4785" w:type="dxa"/>
            <w:shd w:val="clear" w:color="auto" w:fill="auto"/>
          </w:tcPr>
          <w:p w:rsidR="00654AF8" w:rsidRDefault="00654AF8" w:rsidP="00672C60">
            <w:pPr>
              <w:rPr>
                <w:rFonts w:ascii="Times New Roman" w:hAnsi="Times New Roman" w:cs="Times New Roman"/>
              </w:rPr>
            </w:pPr>
            <w:r>
              <w:rPr>
                <w:rFonts w:ascii="Times New Roman" w:hAnsi="Times New Roman" w:cs="Times New Roman"/>
              </w:rPr>
              <w:lastRenderedPageBreak/>
              <w:t>Uwaga wyjaśniona</w:t>
            </w:r>
          </w:p>
          <w:p w:rsidR="00DC63F0" w:rsidRPr="005872A5" w:rsidRDefault="00162AD0" w:rsidP="00654AF8">
            <w:pPr>
              <w:jc w:val="both"/>
              <w:rPr>
                <w:rFonts w:ascii="Times New Roman" w:hAnsi="Times New Roman" w:cs="Times New Roman"/>
              </w:rPr>
            </w:pPr>
            <w:r>
              <w:rPr>
                <w:rFonts w:ascii="Times New Roman" w:hAnsi="Times New Roman" w:cs="Times New Roman"/>
              </w:rPr>
              <w:t>P</w:t>
            </w:r>
            <w:r w:rsidRPr="00162AD0">
              <w:rPr>
                <w:rFonts w:ascii="Times New Roman" w:hAnsi="Times New Roman" w:cs="Times New Roman"/>
              </w:rPr>
              <w:t>rojektowany przepis ma na celu wdrożenie art. 5 ust. 8 dyrektywy 2019/520, który zobowiązuje aby dostawcy EETS natychmiastowo udostępniali, podmiotom pobierającym opłaty, dane odnoszące się do pojazdu, którego dotyczy podejrzenie nieuiszczenia opłaty drogowej, oraz do właściciela lub posiadacza tego pojazdu. Należy zaznaczyć, że podmiot pobierający opłaty nie ma swobodnego dostępu do danych. Udostępnienie danych będzie odbywać się na wniosek podmiotu pobierającego opłaty. Mając na względzie prawidłowe wdrożenie dyrektywy, która wskazuje, że udostępnianie danych ma odbywać się natychmiastowo, w opinii resortu infrastruktury, takie udostępnianie możliwe jest tylko za pomocą środków komunikacji elektronicznej. W praktyce będą to dane, o których mowa w art. 13mc ust. 1 ustawy.</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6472B0"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5872A5" w:rsidRDefault="006472B0" w:rsidP="00672C60">
            <w:pPr>
              <w:rPr>
                <w:rFonts w:ascii="Times New Roman" w:hAnsi="Times New Roman" w:cs="Times New Roman"/>
              </w:rPr>
            </w:pPr>
            <w:r>
              <w:rPr>
                <w:rFonts w:ascii="Times New Roman" w:hAnsi="Times New Roman" w:cs="Times New Roman"/>
              </w:rPr>
              <w:t>Art. 1 pkt 13 lit. c</w:t>
            </w:r>
          </w:p>
        </w:tc>
        <w:tc>
          <w:tcPr>
            <w:tcW w:w="6663" w:type="dxa"/>
            <w:shd w:val="clear" w:color="auto" w:fill="auto"/>
          </w:tcPr>
          <w:p w:rsidR="00DC63F0" w:rsidRPr="005872A5" w:rsidRDefault="006472B0" w:rsidP="006472B0">
            <w:pPr>
              <w:jc w:val="both"/>
              <w:rPr>
                <w:rFonts w:ascii="Times New Roman" w:hAnsi="Times New Roman" w:cs="Times New Roman"/>
              </w:rPr>
            </w:pPr>
            <w:r w:rsidRPr="006472B0">
              <w:rPr>
                <w:rFonts w:ascii="Times New Roman" w:hAnsi="Times New Roman" w:cs="Times New Roman"/>
              </w:rPr>
              <w:t xml:space="preserve">Propozycja art. 16i ust. 9 w brzmieniu Podmioty, </w:t>
            </w:r>
            <w:r>
              <w:rPr>
                <w:rFonts w:ascii="Times New Roman" w:hAnsi="Times New Roman" w:cs="Times New Roman"/>
              </w:rPr>
              <w:t xml:space="preserve">które uzyskały od dostawcy EETS </w:t>
            </w:r>
            <w:r w:rsidRPr="006472B0">
              <w:rPr>
                <w:rFonts w:ascii="Times New Roman" w:hAnsi="Times New Roman" w:cs="Times New Roman"/>
              </w:rPr>
              <w:t>dane osobowe na podstawie ust. 1 pkt 2a</w:t>
            </w:r>
            <w:r>
              <w:rPr>
                <w:rFonts w:ascii="Times New Roman" w:hAnsi="Times New Roman" w:cs="Times New Roman"/>
              </w:rPr>
              <w:t xml:space="preserve"> i 4, odpowiadają za naruszenie </w:t>
            </w:r>
            <w:r w:rsidRPr="006472B0">
              <w:rPr>
                <w:rFonts w:ascii="Times New Roman" w:hAnsi="Times New Roman" w:cs="Times New Roman"/>
              </w:rPr>
              <w:t>obowiązków, o których mowa w ust. 4 i 7, na zasadach określonych w ustawi</w:t>
            </w:r>
            <w:r>
              <w:rPr>
                <w:rFonts w:ascii="Times New Roman" w:hAnsi="Times New Roman" w:cs="Times New Roman"/>
              </w:rPr>
              <w:t xml:space="preserve">e z dnia </w:t>
            </w:r>
            <w:r w:rsidRPr="006472B0">
              <w:rPr>
                <w:rFonts w:ascii="Times New Roman" w:hAnsi="Times New Roman" w:cs="Times New Roman"/>
              </w:rPr>
              <w:t>10 maja 2018 r. o ochronie danych osobowych (Dz. U</w:t>
            </w:r>
            <w:r>
              <w:rPr>
                <w:rFonts w:ascii="Times New Roman" w:hAnsi="Times New Roman" w:cs="Times New Roman"/>
              </w:rPr>
              <w:t xml:space="preserve">. z 2019 r. poz. 1781.) powinna </w:t>
            </w:r>
            <w:r w:rsidRPr="006472B0">
              <w:rPr>
                <w:rFonts w:ascii="Times New Roman" w:hAnsi="Times New Roman" w:cs="Times New Roman"/>
              </w:rPr>
              <w:t>być przez Projektodawcę powtórnie zweryfikowana</w:t>
            </w:r>
            <w:r>
              <w:rPr>
                <w:rFonts w:ascii="Times New Roman" w:hAnsi="Times New Roman" w:cs="Times New Roman"/>
              </w:rPr>
              <w:t xml:space="preserve">, gdyż tego rodzaju rozwiązania </w:t>
            </w:r>
            <w:r w:rsidRPr="006472B0">
              <w:rPr>
                <w:rFonts w:ascii="Times New Roman" w:hAnsi="Times New Roman" w:cs="Times New Roman"/>
              </w:rPr>
              <w:t>nie mogą prowadzić do zawężania przepisami u</w:t>
            </w:r>
            <w:r>
              <w:rPr>
                <w:rFonts w:ascii="Times New Roman" w:hAnsi="Times New Roman" w:cs="Times New Roman"/>
              </w:rPr>
              <w:t xml:space="preserve">stawy obowiązków wynikających z </w:t>
            </w:r>
            <w:r w:rsidRPr="006472B0">
              <w:rPr>
                <w:rFonts w:ascii="Times New Roman" w:hAnsi="Times New Roman" w:cs="Times New Roman"/>
              </w:rPr>
              <w:t>przepisów rozporządzenia 2016/679 i og</w:t>
            </w:r>
            <w:r>
              <w:rPr>
                <w:rFonts w:ascii="Times New Roman" w:hAnsi="Times New Roman" w:cs="Times New Roman"/>
              </w:rPr>
              <w:t xml:space="preserve">raniczania odpowiedzialności za </w:t>
            </w:r>
            <w:r w:rsidRPr="006472B0">
              <w:rPr>
                <w:rFonts w:ascii="Times New Roman" w:hAnsi="Times New Roman" w:cs="Times New Roman"/>
              </w:rPr>
              <w:t>przetwarzanie danych osobowych z naruszeniem</w:t>
            </w:r>
            <w:r>
              <w:rPr>
                <w:rFonts w:ascii="Times New Roman" w:hAnsi="Times New Roman" w:cs="Times New Roman"/>
              </w:rPr>
              <w:t xml:space="preserve"> prawa z zakresu ochrony danych </w:t>
            </w:r>
            <w:r w:rsidRPr="006472B0">
              <w:rPr>
                <w:rFonts w:ascii="Times New Roman" w:hAnsi="Times New Roman" w:cs="Times New Roman"/>
              </w:rPr>
              <w:t>osobowych. Zrozumiałe jest, że przepisy te są dedykowane weryfikowaniu systemu</w:t>
            </w:r>
            <w:r>
              <w:t xml:space="preserve"> </w:t>
            </w:r>
            <w:r w:rsidRPr="006472B0">
              <w:rPr>
                <w:rFonts w:ascii="Times New Roman" w:hAnsi="Times New Roman" w:cs="Times New Roman"/>
              </w:rPr>
              <w:t xml:space="preserve">opłat, nie oznacza to jednak, że w związku z </w:t>
            </w:r>
            <w:r>
              <w:rPr>
                <w:rFonts w:ascii="Times New Roman" w:hAnsi="Times New Roman" w:cs="Times New Roman"/>
              </w:rPr>
              <w:t xml:space="preserve">przetwarzaniem danych osobowych </w:t>
            </w:r>
            <w:r w:rsidRPr="006472B0">
              <w:rPr>
                <w:rFonts w:ascii="Times New Roman" w:hAnsi="Times New Roman" w:cs="Times New Roman"/>
              </w:rPr>
              <w:t>można zawęzić tę odpowiedzialność jedyn</w:t>
            </w:r>
            <w:r>
              <w:rPr>
                <w:rFonts w:ascii="Times New Roman" w:hAnsi="Times New Roman" w:cs="Times New Roman"/>
              </w:rPr>
              <w:t xml:space="preserve">ie do obowiązków wynikających z </w:t>
            </w:r>
            <w:r w:rsidRPr="006472B0">
              <w:rPr>
                <w:rFonts w:ascii="Times New Roman" w:hAnsi="Times New Roman" w:cs="Times New Roman"/>
              </w:rPr>
              <w:t>projektowanego art. 16i ust. 4 i 7.</w:t>
            </w:r>
          </w:p>
        </w:tc>
        <w:tc>
          <w:tcPr>
            <w:tcW w:w="4785" w:type="dxa"/>
            <w:shd w:val="clear" w:color="auto" w:fill="auto"/>
          </w:tcPr>
          <w:p w:rsidR="00DC63F0" w:rsidRDefault="00162AD0" w:rsidP="00672C60">
            <w:pPr>
              <w:rPr>
                <w:rFonts w:ascii="Times New Roman" w:hAnsi="Times New Roman" w:cs="Times New Roman"/>
              </w:rPr>
            </w:pPr>
            <w:r>
              <w:rPr>
                <w:rFonts w:ascii="Times New Roman" w:hAnsi="Times New Roman" w:cs="Times New Roman"/>
              </w:rPr>
              <w:t>Uwaga uwzględniona.</w:t>
            </w:r>
          </w:p>
          <w:p w:rsidR="00162AD0" w:rsidRPr="005872A5" w:rsidRDefault="00162AD0" w:rsidP="00654AF8">
            <w:pPr>
              <w:jc w:val="both"/>
              <w:rPr>
                <w:rFonts w:ascii="Times New Roman" w:hAnsi="Times New Roman" w:cs="Times New Roman"/>
              </w:rPr>
            </w:pPr>
            <w:r>
              <w:rPr>
                <w:rFonts w:ascii="Times New Roman" w:hAnsi="Times New Roman" w:cs="Times New Roman"/>
              </w:rPr>
              <w:t xml:space="preserve">Usunięto projektowany </w:t>
            </w:r>
            <w:r w:rsidRPr="00162AD0">
              <w:rPr>
                <w:rFonts w:ascii="Times New Roman" w:hAnsi="Times New Roman" w:cs="Times New Roman"/>
              </w:rPr>
              <w:t>art. 16i ust. 9 ustawy o drogach publicznych.</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6472B0"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5872A5" w:rsidRDefault="006472B0" w:rsidP="00672C60">
            <w:pPr>
              <w:rPr>
                <w:rFonts w:ascii="Times New Roman" w:hAnsi="Times New Roman" w:cs="Times New Roman"/>
              </w:rPr>
            </w:pPr>
            <w:r>
              <w:rPr>
                <w:rFonts w:ascii="Times New Roman" w:hAnsi="Times New Roman" w:cs="Times New Roman"/>
              </w:rPr>
              <w:t>Art. 1 pkt 17</w:t>
            </w:r>
          </w:p>
        </w:tc>
        <w:tc>
          <w:tcPr>
            <w:tcW w:w="6663" w:type="dxa"/>
            <w:shd w:val="clear" w:color="auto" w:fill="auto"/>
          </w:tcPr>
          <w:p w:rsidR="00DC63F0" w:rsidRPr="005872A5" w:rsidRDefault="006472B0" w:rsidP="006472B0">
            <w:pPr>
              <w:jc w:val="both"/>
              <w:rPr>
                <w:rFonts w:ascii="Times New Roman" w:hAnsi="Times New Roman" w:cs="Times New Roman"/>
              </w:rPr>
            </w:pPr>
            <w:r w:rsidRPr="006472B0">
              <w:rPr>
                <w:rFonts w:ascii="Times New Roman" w:hAnsi="Times New Roman" w:cs="Times New Roman"/>
              </w:rPr>
              <w:t xml:space="preserve">Doprecyzowania wymaga art. 16la ust. 2 pkt 2) </w:t>
            </w:r>
            <w:r>
              <w:rPr>
                <w:rFonts w:ascii="Times New Roman" w:hAnsi="Times New Roman" w:cs="Times New Roman"/>
              </w:rPr>
              <w:t xml:space="preserve">zakładający, że umowa dotycząca </w:t>
            </w:r>
            <w:r w:rsidRPr="006472B0">
              <w:rPr>
                <w:rFonts w:ascii="Times New Roman" w:hAnsi="Times New Roman" w:cs="Times New Roman"/>
              </w:rPr>
              <w:t>świadczenia usługi EETS określać będzie „szczegół</w:t>
            </w:r>
            <w:r>
              <w:rPr>
                <w:rFonts w:ascii="Times New Roman" w:hAnsi="Times New Roman" w:cs="Times New Roman"/>
              </w:rPr>
              <w:t xml:space="preserve">owy zakres danych, w tym danych </w:t>
            </w:r>
            <w:r w:rsidRPr="006472B0">
              <w:rPr>
                <w:rFonts w:ascii="Times New Roman" w:hAnsi="Times New Roman" w:cs="Times New Roman"/>
              </w:rPr>
              <w:t>osobowych”, które użytkownik EETS jest obowiązany przekazać dostawcy EETS.</w:t>
            </w:r>
            <w:r>
              <w:rPr>
                <w:rFonts w:ascii="Times New Roman" w:hAnsi="Times New Roman" w:cs="Times New Roman"/>
              </w:rPr>
              <w:t xml:space="preserve"> </w:t>
            </w:r>
            <w:r w:rsidRPr="006472B0">
              <w:rPr>
                <w:rFonts w:ascii="Times New Roman" w:hAnsi="Times New Roman" w:cs="Times New Roman"/>
              </w:rPr>
              <w:t xml:space="preserve">Zakres danych osobowych, jakie są dla realizacji </w:t>
            </w:r>
            <w:r>
              <w:rPr>
                <w:rFonts w:ascii="Times New Roman" w:hAnsi="Times New Roman" w:cs="Times New Roman"/>
              </w:rPr>
              <w:t xml:space="preserve">przedmiotowego celu konieczne i </w:t>
            </w:r>
            <w:r w:rsidRPr="006472B0">
              <w:rPr>
                <w:rFonts w:ascii="Times New Roman" w:hAnsi="Times New Roman" w:cs="Times New Roman"/>
              </w:rPr>
              <w:t>niezbędne oraz będą przekazywane dos</w:t>
            </w:r>
            <w:r>
              <w:rPr>
                <w:rFonts w:ascii="Times New Roman" w:hAnsi="Times New Roman" w:cs="Times New Roman"/>
              </w:rPr>
              <w:t xml:space="preserve">tawcom EETS i wpisywane do umów </w:t>
            </w:r>
            <w:r w:rsidRPr="006472B0">
              <w:rPr>
                <w:rFonts w:ascii="Times New Roman" w:hAnsi="Times New Roman" w:cs="Times New Roman"/>
              </w:rPr>
              <w:t>dotyczących świadczeń usługi EETS, powinien</w:t>
            </w:r>
            <w:r>
              <w:rPr>
                <w:rFonts w:ascii="Times New Roman" w:hAnsi="Times New Roman" w:cs="Times New Roman"/>
              </w:rPr>
              <w:t xml:space="preserve"> zostać precyzyjnie określony w </w:t>
            </w:r>
            <w:r w:rsidRPr="006472B0">
              <w:rPr>
                <w:rFonts w:ascii="Times New Roman" w:hAnsi="Times New Roman" w:cs="Times New Roman"/>
              </w:rPr>
              <w:lastRenderedPageBreak/>
              <w:t>przepisie prawa a nie być dowolnie kszta</w:t>
            </w:r>
            <w:r>
              <w:rPr>
                <w:rFonts w:ascii="Times New Roman" w:hAnsi="Times New Roman" w:cs="Times New Roman"/>
              </w:rPr>
              <w:t xml:space="preserve">łtowany postanowieniem umownym. </w:t>
            </w:r>
            <w:r w:rsidRPr="006472B0">
              <w:rPr>
                <w:rFonts w:ascii="Times New Roman" w:hAnsi="Times New Roman" w:cs="Times New Roman"/>
              </w:rPr>
              <w:t>Sformułowanie „szczegółowy” tez nie jest wys</w:t>
            </w:r>
            <w:r>
              <w:rPr>
                <w:rFonts w:ascii="Times New Roman" w:hAnsi="Times New Roman" w:cs="Times New Roman"/>
              </w:rPr>
              <w:t xml:space="preserve">tarczająco precyzyjne pod katem </w:t>
            </w:r>
            <w:r w:rsidRPr="006472B0">
              <w:rPr>
                <w:rFonts w:ascii="Times New Roman" w:hAnsi="Times New Roman" w:cs="Times New Roman"/>
              </w:rPr>
              <w:t xml:space="preserve">zachowania zasady minimalizacji, o której mowa w art. </w:t>
            </w:r>
            <w:r>
              <w:rPr>
                <w:rFonts w:ascii="Times New Roman" w:hAnsi="Times New Roman" w:cs="Times New Roman"/>
              </w:rPr>
              <w:t xml:space="preserve">5 ust. 1 lit. c) rozporządzenia </w:t>
            </w:r>
            <w:r w:rsidRPr="006472B0">
              <w:rPr>
                <w:rFonts w:ascii="Times New Roman" w:hAnsi="Times New Roman" w:cs="Times New Roman"/>
              </w:rPr>
              <w:t>2016/679 i może prowadzić do pozyskiwanie nieograniczonej ilości danych</w:t>
            </w:r>
            <w:r>
              <w:rPr>
                <w:rFonts w:ascii="Times New Roman" w:hAnsi="Times New Roman" w:cs="Times New Roman"/>
              </w:rPr>
              <w:t xml:space="preserve"> </w:t>
            </w:r>
            <w:r w:rsidRPr="006472B0">
              <w:rPr>
                <w:rFonts w:ascii="Times New Roman" w:hAnsi="Times New Roman" w:cs="Times New Roman"/>
              </w:rPr>
              <w:t>osobowych, zbędnych do podpisania i realizacji um</w:t>
            </w:r>
            <w:r>
              <w:rPr>
                <w:rFonts w:ascii="Times New Roman" w:hAnsi="Times New Roman" w:cs="Times New Roman"/>
              </w:rPr>
              <w:t xml:space="preserve">owy. Co prawda w art. 16la ust. </w:t>
            </w:r>
            <w:r w:rsidRPr="006472B0">
              <w:rPr>
                <w:rFonts w:ascii="Times New Roman" w:hAnsi="Times New Roman" w:cs="Times New Roman"/>
              </w:rPr>
              <w:t xml:space="preserve">4 wskazuje się, że określenie zakresu danych, o </w:t>
            </w:r>
            <w:r>
              <w:rPr>
                <w:rFonts w:ascii="Times New Roman" w:hAnsi="Times New Roman" w:cs="Times New Roman"/>
              </w:rPr>
              <w:t xml:space="preserve">których mowa w ust. 2 pkt 2 (…) </w:t>
            </w:r>
            <w:r w:rsidRPr="006472B0">
              <w:rPr>
                <w:rFonts w:ascii="Times New Roman" w:hAnsi="Times New Roman" w:cs="Times New Roman"/>
              </w:rPr>
              <w:t>następuje z uwzględnieniem wymagań określon</w:t>
            </w:r>
            <w:r>
              <w:rPr>
                <w:rFonts w:ascii="Times New Roman" w:hAnsi="Times New Roman" w:cs="Times New Roman"/>
              </w:rPr>
              <w:t xml:space="preserve">ych w akcie wykonawczym wydanym </w:t>
            </w:r>
            <w:r w:rsidRPr="006472B0">
              <w:rPr>
                <w:rFonts w:ascii="Times New Roman" w:hAnsi="Times New Roman" w:cs="Times New Roman"/>
              </w:rPr>
              <w:t>przez Komisję Europejską na podstawie art. 10 ust.</w:t>
            </w:r>
            <w:r>
              <w:rPr>
                <w:rFonts w:ascii="Times New Roman" w:hAnsi="Times New Roman" w:cs="Times New Roman"/>
              </w:rPr>
              <w:t xml:space="preserve"> 3 dyrektywy 2019/520, niemniej </w:t>
            </w:r>
            <w:r w:rsidRPr="006472B0">
              <w:rPr>
                <w:rFonts w:ascii="Times New Roman" w:hAnsi="Times New Roman" w:cs="Times New Roman"/>
              </w:rPr>
              <w:t>jednak wskazany akt wykonawczy nie precy</w:t>
            </w:r>
            <w:r>
              <w:rPr>
                <w:rFonts w:ascii="Times New Roman" w:hAnsi="Times New Roman" w:cs="Times New Roman"/>
              </w:rPr>
              <w:t xml:space="preserve">zuje szczegółowo zakresu danych </w:t>
            </w:r>
            <w:r w:rsidRPr="006472B0">
              <w:rPr>
                <w:rFonts w:ascii="Times New Roman" w:hAnsi="Times New Roman" w:cs="Times New Roman"/>
              </w:rPr>
              <w:t>osobowych, o których mowa w opiniowanym przepisie.</w:t>
            </w:r>
          </w:p>
        </w:tc>
        <w:tc>
          <w:tcPr>
            <w:tcW w:w="4785" w:type="dxa"/>
            <w:shd w:val="clear" w:color="auto" w:fill="auto"/>
          </w:tcPr>
          <w:p w:rsidR="00654AF8" w:rsidRDefault="00654AF8" w:rsidP="00672C60">
            <w:pPr>
              <w:rPr>
                <w:rFonts w:ascii="Times New Roman" w:hAnsi="Times New Roman" w:cs="Times New Roman"/>
              </w:rPr>
            </w:pPr>
            <w:r>
              <w:rPr>
                <w:rFonts w:ascii="Times New Roman" w:hAnsi="Times New Roman" w:cs="Times New Roman"/>
              </w:rPr>
              <w:lastRenderedPageBreak/>
              <w:t>Uwaga wyjaśniona</w:t>
            </w:r>
          </w:p>
          <w:p w:rsidR="00DC63F0" w:rsidRPr="005872A5" w:rsidRDefault="00162AD0" w:rsidP="00654AF8">
            <w:pPr>
              <w:jc w:val="both"/>
              <w:rPr>
                <w:rFonts w:ascii="Times New Roman" w:hAnsi="Times New Roman" w:cs="Times New Roman"/>
              </w:rPr>
            </w:pPr>
            <w:r>
              <w:rPr>
                <w:rFonts w:ascii="Times New Roman" w:hAnsi="Times New Roman" w:cs="Times New Roman"/>
              </w:rPr>
              <w:t>U</w:t>
            </w:r>
            <w:r w:rsidRPr="00162AD0">
              <w:rPr>
                <w:rFonts w:ascii="Times New Roman" w:hAnsi="Times New Roman" w:cs="Times New Roman"/>
              </w:rPr>
              <w:t xml:space="preserve">mowa dotycząca świadczenia usługi EETS stanowi podstawę ochrony danych osobowych użytkowników EETS. Zgodnie z art. 6 ust. 1 lit. b rozporządzenia 2016/679 przetwarzanie jest zgodne z prawem wyłącznie w przypadkach, gdy - i w takim zakresie, w jakim - przetwarzanie jest niezbędne do </w:t>
            </w:r>
            <w:r w:rsidRPr="00162AD0">
              <w:rPr>
                <w:rFonts w:ascii="Times New Roman" w:hAnsi="Times New Roman" w:cs="Times New Roman"/>
              </w:rPr>
              <w:lastRenderedPageBreak/>
              <w:t>wykonania umowy, której stroną jest osoba, której dane dotyczą, lub do podjęcia działań na żądanie osoby, której dane dotyczą, przed zawarciem umowy. Podkreślić należy, że dostawca EETS będzie administratorem danych osobowych i będzie zobowiązany do stosowania przepisów regulujących ochronę danych osobowych. Należy wskazać, że dyrektywa 2019/520 nie reguluje jakie dane użytkownik EETS jest zobowiązany przekazać dostawcy EETS wobec czego projektodawca nie zawarł takiego katalogu w projekcie ustawy. Co więcej, zawarcie umowy jest stosunkiem prawnym, który podlega zasadzie swobody zawierania umów, wobec czego użytkownik EETS ma możliwość wyboru dostawcy EETS. Resumując, nie ma podstaw do wskazywania jakie dane musi przekazać użytkownik EETS do prawidłowego zawarcia i realizacji umowy dotyczącej świadczenia usługi EETS.</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6472B0"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5872A5" w:rsidRDefault="006472B0" w:rsidP="00672C60">
            <w:pPr>
              <w:rPr>
                <w:rFonts w:ascii="Times New Roman" w:hAnsi="Times New Roman" w:cs="Times New Roman"/>
              </w:rPr>
            </w:pPr>
            <w:r>
              <w:rPr>
                <w:rFonts w:ascii="Times New Roman" w:hAnsi="Times New Roman" w:cs="Times New Roman"/>
              </w:rPr>
              <w:t>Art. 1 pkt 17</w:t>
            </w:r>
          </w:p>
        </w:tc>
        <w:tc>
          <w:tcPr>
            <w:tcW w:w="6663" w:type="dxa"/>
            <w:shd w:val="clear" w:color="auto" w:fill="auto"/>
          </w:tcPr>
          <w:p w:rsidR="00DC63F0" w:rsidRPr="005872A5" w:rsidRDefault="006472B0" w:rsidP="006472B0">
            <w:pPr>
              <w:jc w:val="both"/>
              <w:rPr>
                <w:rFonts w:ascii="Times New Roman" w:hAnsi="Times New Roman" w:cs="Times New Roman"/>
              </w:rPr>
            </w:pPr>
            <w:r w:rsidRPr="006472B0">
              <w:rPr>
                <w:rFonts w:ascii="Times New Roman" w:hAnsi="Times New Roman" w:cs="Times New Roman"/>
              </w:rPr>
              <w:t>Podobne zastrzeżenia organ nadzorczy zgłasza do brzmi</w:t>
            </w:r>
            <w:r>
              <w:rPr>
                <w:rFonts w:ascii="Times New Roman" w:hAnsi="Times New Roman" w:cs="Times New Roman"/>
              </w:rPr>
              <w:t xml:space="preserve">enia art. 16lb ust. 1 i ust. 2, </w:t>
            </w:r>
            <w:r w:rsidRPr="006472B0">
              <w:rPr>
                <w:rFonts w:ascii="Times New Roman" w:hAnsi="Times New Roman" w:cs="Times New Roman"/>
              </w:rPr>
              <w:t>przewidujących przekazywanie danych osobowych, bez kon</w:t>
            </w:r>
            <w:r>
              <w:rPr>
                <w:rFonts w:ascii="Times New Roman" w:hAnsi="Times New Roman" w:cs="Times New Roman"/>
              </w:rPr>
              <w:t xml:space="preserve">kretnego wskazania tych </w:t>
            </w:r>
            <w:r w:rsidRPr="006472B0">
              <w:rPr>
                <w:rFonts w:ascii="Times New Roman" w:hAnsi="Times New Roman" w:cs="Times New Roman"/>
              </w:rPr>
              <w:t>danych.</w:t>
            </w:r>
          </w:p>
        </w:tc>
        <w:tc>
          <w:tcPr>
            <w:tcW w:w="4785" w:type="dxa"/>
            <w:shd w:val="clear" w:color="auto" w:fill="auto"/>
          </w:tcPr>
          <w:p w:rsidR="00DC63F0" w:rsidRPr="005872A5" w:rsidRDefault="00162AD0" w:rsidP="00162AD0">
            <w:pPr>
              <w:rPr>
                <w:rFonts w:ascii="Times New Roman" w:hAnsi="Times New Roman" w:cs="Times New Roman"/>
              </w:rPr>
            </w:pPr>
            <w:r w:rsidRPr="00162AD0">
              <w:rPr>
                <w:rFonts w:ascii="Times New Roman" w:hAnsi="Times New Roman" w:cs="Times New Roman"/>
              </w:rPr>
              <w:t xml:space="preserve">Wyjaśnienia jak w stanowisku do uwagi z poz. </w:t>
            </w:r>
            <w:r>
              <w:rPr>
                <w:rFonts w:ascii="Times New Roman" w:hAnsi="Times New Roman" w:cs="Times New Roman"/>
              </w:rPr>
              <w:t>20</w:t>
            </w:r>
            <w:r w:rsidRPr="00162AD0">
              <w:rPr>
                <w:rFonts w:ascii="Times New Roman" w:hAnsi="Times New Roman" w:cs="Times New Roman"/>
              </w:rPr>
              <w:t>.</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6472B0" w:rsidP="00672C60">
            <w:pPr>
              <w:rPr>
                <w:rFonts w:ascii="Times New Roman" w:hAnsi="Times New Roman" w:cs="Times New Roman"/>
              </w:rPr>
            </w:pPr>
            <w:r>
              <w:rPr>
                <w:rFonts w:ascii="Times New Roman" w:hAnsi="Times New Roman" w:cs="Times New Roman"/>
              </w:rPr>
              <w:t>UODO</w:t>
            </w:r>
          </w:p>
        </w:tc>
        <w:tc>
          <w:tcPr>
            <w:tcW w:w="1134" w:type="dxa"/>
            <w:shd w:val="clear" w:color="auto" w:fill="auto"/>
          </w:tcPr>
          <w:p w:rsidR="00DC63F0" w:rsidRPr="005872A5" w:rsidRDefault="009A2DAA" w:rsidP="00672C60">
            <w:pPr>
              <w:rPr>
                <w:rFonts w:ascii="Times New Roman" w:hAnsi="Times New Roman" w:cs="Times New Roman"/>
              </w:rPr>
            </w:pPr>
            <w:r>
              <w:rPr>
                <w:rFonts w:ascii="Times New Roman" w:hAnsi="Times New Roman" w:cs="Times New Roman"/>
              </w:rPr>
              <w:t>Uwaga ogólna</w:t>
            </w:r>
          </w:p>
        </w:tc>
        <w:tc>
          <w:tcPr>
            <w:tcW w:w="6663" w:type="dxa"/>
            <w:shd w:val="clear" w:color="auto" w:fill="auto"/>
          </w:tcPr>
          <w:p w:rsidR="00DC63F0" w:rsidRPr="005872A5" w:rsidRDefault="006472B0" w:rsidP="006472B0">
            <w:pPr>
              <w:jc w:val="both"/>
              <w:rPr>
                <w:rFonts w:ascii="Times New Roman" w:hAnsi="Times New Roman" w:cs="Times New Roman"/>
              </w:rPr>
            </w:pPr>
            <w:r w:rsidRPr="006472B0">
              <w:rPr>
                <w:rFonts w:ascii="Times New Roman" w:hAnsi="Times New Roman" w:cs="Times New Roman"/>
              </w:rPr>
              <w:t xml:space="preserve">Nie może umknąć uwadze Projektodawcy </w:t>
            </w:r>
            <w:r>
              <w:rPr>
                <w:rFonts w:ascii="Times New Roman" w:hAnsi="Times New Roman" w:cs="Times New Roman"/>
              </w:rPr>
              <w:t xml:space="preserve">i wykonawców norm wprowadzanych </w:t>
            </w:r>
            <w:r w:rsidRPr="006472B0">
              <w:rPr>
                <w:rFonts w:ascii="Times New Roman" w:hAnsi="Times New Roman" w:cs="Times New Roman"/>
              </w:rPr>
              <w:t xml:space="preserve">opiniowanym projektem do krajowego porządku </w:t>
            </w:r>
            <w:r>
              <w:rPr>
                <w:rFonts w:ascii="Times New Roman" w:hAnsi="Times New Roman" w:cs="Times New Roman"/>
              </w:rPr>
              <w:t xml:space="preserve">prawnego - w zakresie regulacji </w:t>
            </w:r>
            <w:r w:rsidRPr="006472B0">
              <w:rPr>
                <w:rFonts w:ascii="Times New Roman" w:hAnsi="Times New Roman" w:cs="Times New Roman"/>
              </w:rPr>
              <w:t xml:space="preserve">dotyczących urządzeń na potrzeby poboru opłat w </w:t>
            </w:r>
            <w:r>
              <w:rPr>
                <w:rFonts w:ascii="Times New Roman" w:hAnsi="Times New Roman" w:cs="Times New Roman"/>
              </w:rPr>
              <w:t xml:space="preserve">systemie elektronicznego poboru </w:t>
            </w:r>
            <w:r w:rsidRPr="006472B0">
              <w:rPr>
                <w:rFonts w:ascii="Times New Roman" w:hAnsi="Times New Roman" w:cs="Times New Roman"/>
              </w:rPr>
              <w:t>opłat działające z wykorzystaniem nowych technolog</w:t>
            </w:r>
            <w:r>
              <w:rPr>
                <w:rFonts w:ascii="Times New Roman" w:hAnsi="Times New Roman" w:cs="Times New Roman"/>
              </w:rPr>
              <w:t xml:space="preserve">ii, w szczególności technologii </w:t>
            </w:r>
            <w:r w:rsidRPr="006472B0">
              <w:rPr>
                <w:rFonts w:ascii="Times New Roman" w:hAnsi="Times New Roman" w:cs="Times New Roman"/>
              </w:rPr>
              <w:t>pozycjonowania satelitarnego, w tym zapewn</w:t>
            </w:r>
            <w:r>
              <w:rPr>
                <w:rFonts w:ascii="Times New Roman" w:hAnsi="Times New Roman" w:cs="Times New Roman"/>
              </w:rPr>
              <w:t xml:space="preserve">ienia zdolności do współpracy z </w:t>
            </w:r>
            <w:r w:rsidRPr="006472B0">
              <w:rPr>
                <w:rFonts w:ascii="Times New Roman" w:hAnsi="Times New Roman" w:cs="Times New Roman"/>
              </w:rPr>
              <w:t>usługami pozycjonowania satelitarnego reali</w:t>
            </w:r>
            <w:r>
              <w:rPr>
                <w:rFonts w:ascii="Times New Roman" w:hAnsi="Times New Roman" w:cs="Times New Roman"/>
              </w:rPr>
              <w:t xml:space="preserve">zowanymi przez system GALILEO i </w:t>
            </w:r>
            <w:r w:rsidRPr="006472B0">
              <w:rPr>
                <w:rFonts w:ascii="Times New Roman" w:hAnsi="Times New Roman" w:cs="Times New Roman"/>
              </w:rPr>
              <w:t xml:space="preserve">system EGNOS oraz systemów lokalizacyjnych i </w:t>
            </w:r>
            <w:r>
              <w:rPr>
                <w:rFonts w:ascii="Times New Roman" w:hAnsi="Times New Roman" w:cs="Times New Roman"/>
              </w:rPr>
              <w:t xml:space="preserve">systemów elektronicznych poboru </w:t>
            </w:r>
            <w:r w:rsidRPr="006472B0">
              <w:rPr>
                <w:rFonts w:ascii="Times New Roman" w:hAnsi="Times New Roman" w:cs="Times New Roman"/>
              </w:rPr>
              <w:t>opłat - że przepisy rozporządzenia Parlamen</w:t>
            </w:r>
            <w:r>
              <w:rPr>
                <w:rFonts w:ascii="Times New Roman" w:hAnsi="Times New Roman" w:cs="Times New Roman"/>
              </w:rPr>
              <w:t xml:space="preserve">tu Europejskiego i Rady (UE) nr </w:t>
            </w:r>
            <w:r w:rsidRPr="006472B0">
              <w:rPr>
                <w:rFonts w:ascii="Times New Roman" w:hAnsi="Times New Roman" w:cs="Times New Roman"/>
              </w:rPr>
              <w:t xml:space="preserve">1285/2013 w sprawie realizacji i eksploatacji </w:t>
            </w:r>
            <w:r>
              <w:rPr>
                <w:rFonts w:ascii="Times New Roman" w:hAnsi="Times New Roman" w:cs="Times New Roman"/>
              </w:rPr>
              <w:t xml:space="preserve">europejskich systemów nawigacji </w:t>
            </w:r>
            <w:r w:rsidRPr="006472B0">
              <w:rPr>
                <w:rFonts w:ascii="Times New Roman" w:hAnsi="Times New Roman" w:cs="Times New Roman"/>
              </w:rPr>
              <w:t>satelitarnej oraz uchylające rozporządzenie Rady (W</w:t>
            </w:r>
            <w:r>
              <w:rPr>
                <w:rFonts w:ascii="Times New Roman" w:hAnsi="Times New Roman" w:cs="Times New Roman"/>
              </w:rPr>
              <w:t xml:space="preserve">E) nr 876/2002 i rozporządzenie </w:t>
            </w:r>
            <w:r w:rsidRPr="006472B0">
              <w:rPr>
                <w:rFonts w:ascii="Times New Roman" w:hAnsi="Times New Roman" w:cs="Times New Roman"/>
              </w:rPr>
              <w:t xml:space="preserve">Parlamentu Europejskiego i Rady (WE) nr 683/2008 wymagają </w:t>
            </w:r>
            <w:r w:rsidRPr="006472B0">
              <w:rPr>
                <w:rFonts w:ascii="Times New Roman" w:hAnsi="Times New Roman" w:cs="Times New Roman"/>
              </w:rPr>
              <w:lastRenderedPageBreak/>
              <w:t>zapewnienia</w:t>
            </w:r>
            <w:r>
              <w:t xml:space="preserve"> </w:t>
            </w:r>
            <w:r w:rsidRPr="006472B0">
              <w:rPr>
                <w:rFonts w:ascii="Times New Roman" w:hAnsi="Times New Roman" w:cs="Times New Roman"/>
              </w:rPr>
              <w:t>poszanowania ochrony danych osobowych i prywatn</w:t>
            </w:r>
            <w:r w:rsidR="00FC13FE">
              <w:rPr>
                <w:rFonts w:ascii="Times New Roman" w:hAnsi="Times New Roman" w:cs="Times New Roman"/>
              </w:rPr>
              <w:t>ości (art. 31</w:t>
            </w:r>
            <w:r>
              <w:rPr>
                <w:rFonts w:ascii="Times New Roman" w:hAnsi="Times New Roman" w:cs="Times New Roman"/>
              </w:rPr>
              <w:t xml:space="preserve">). Wykonawcy tych </w:t>
            </w:r>
            <w:r w:rsidRPr="006472B0">
              <w:rPr>
                <w:rFonts w:ascii="Times New Roman" w:hAnsi="Times New Roman" w:cs="Times New Roman"/>
              </w:rPr>
              <w:t>norm powinni mieć na względzie stosowanie przepisów</w:t>
            </w:r>
            <w:r>
              <w:rPr>
                <w:rFonts w:ascii="Times New Roman" w:hAnsi="Times New Roman" w:cs="Times New Roman"/>
              </w:rPr>
              <w:t xml:space="preserve"> rozporządzenia 2016/679, w </w:t>
            </w:r>
            <w:r w:rsidRPr="006472B0">
              <w:rPr>
                <w:rFonts w:ascii="Times New Roman" w:hAnsi="Times New Roman" w:cs="Times New Roman"/>
              </w:rPr>
              <w:t>tym jego art. 25 oraz jego motywu 78.</w:t>
            </w:r>
          </w:p>
        </w:tc>
        <w:tc>
          <w:tcPr>
            <w:tcW w:w="4785" w:type="dxa"/>
            <w:shd w:val="clear" w:color="auto" w:fill="auto"/>
          </w:tcPr>
          <w:p w:rsidR="00DC63F0" w:rsidRPr="005872A5" w:rsidRDefault="00162AD0" w:rsidP="00654AF8">
            <w:pPr>
              <w:jc w:val="both"/>
              <w:rPr>
                <w:rFonts w:ascii="Times New Roman" w:hAnsi="Times New Roman" w:cs="Times New Roman"/>
              </w:rPr>
            </w:pPr>
            <w:r>
              <w:rPr>
                <w:rFonts w:ascii="Times New Roman" w:hAnsi="Times New Roman" w:cs="Times New Roman"/>
              </w:rPr>
              <w:lastRenderedPageBreak/>
              <w:t>MI</w:t>
            </w:r>
            <w:r w:rsidR="00654AF8">
              <w:rPr>
                <w:rFonts w:ascii="Times New Roman" w:hAnsi="Times New Roman" w:cs="Times New Roman"/>
              </w:rPr>
              <w:t xml:space="preserve"> przyjęło</w:t>
            </w:r>
            <w:r w:rsidRPr="00162AD0">
              <w:rPr>
                <w:rFonts w:ascii="Times New Roman" w:hAnsi="Times New Roman" w:cs="Times New Roman"/>
              </w:rPr>
              <w:t xml:space="preserve"> do wiad</w:t>
            </w:r>
            <w:r w:rsidR="00654AF8">
              <w:rPr>
                <w:rFonts w:ascii="Times New Roman" w:hAnsi="Times New Roman" w:cs="Times New Roman"/>
              </w:rPr>
              <w:t>omości wyjaśnienia UODO oraz wyjaśniło</w:t>
            </w:r>
            <w:r w:rsidRPr="00162AD0">
              <w:rPr>
                <w:rFonts w:ascii="Times New Roman" w:hAnsi="Times New Roman" w:cs="Times New Roman"/>
              </w:rPr>
              <w:t>, że przepisy rozporządzenia Parlamentu Europejskiego i Rady (UE) 1285/2013 w sprawie realizacji i eksploatacji europejskich systemów nawigacji satelitarnej oraz uchylające rozporządzenie Rady (WE) nr 876/2002 i rozporządzenie Parlamentu Europejskiego i Rady (WE) nr 683/2008 są stosowane bezpośrednio i nie wymagają wdrożenia.</w:t>
            </w:r>
          </w:p>
        </w:tc>
      </w:tr>
      <w:tr w:rsidR="00DC63F0" w:rsidRPr="005872A5" w:rsidTr="0004098A">
        <w:tc>
          <w:tcPr>
            <w:tcW w:w="562" w:type="dxa"/>
            <w:shd w:val="clear" w:color="auto" w:fill="auto"/>
          </w:tcPr>
          <w:p w:rsidR="00DC63F0" w:rsidRPr="005872A5" w:rsidRDefault="00DC63F0" w:rsidP="00672C60">
            <w:pPr>
              <w:numPr>
                <w:ilvl w:val="0"/>
                <w:numId w:val="1"/>
              </w:numPr>
              <w:contextualSpacing/>
              <w:rPr>
                <w:rFonts w:ascii="Times New Roman" w:eastAsia="Calibri" w:hAnsi="Times New Roman" w:cs="Times New Roman"/>
                <w:lang w:eastAsia="pl-PL"/>
              </w:rPr>
            </w:pPr>
          </w:p>
        </w:tc>
        <w:tc>
          <w:tcPr>
            <w:tcW w:w="1134" w:type="dxa"/>
            <w:shd w:val="clear" w:color="auto" w:fill="auto"/>
          </w:tcPr>
          <w:p w:rsidR="00DC63F0" w:rsidRPr="005872A5" w:rsidRDefault="009A2DAA" w:rsidP="00672C60">
            <w:pPr>
              <w:rPr>
                <w:rFonts w:ascii="Times New Roman" w:hAnsi="Times New Roman" w:cs="Times New Roman"/>
              </w:rPr>
            </w:pPr>
            <w:r>
              <w:rPr>
                <w:rFonts w:ascii="Times New Roman" w:hAnsi="Times New Roman" w:cs="Times New Roman"/>
              </w:rPr>
              <w:t>UOKiK</w:t>
            </w:r>
          </w:p>
        </w:tc>
        <w:tc>
          <w:tcPr>
            <w:tcW w:w="1134" w:type="dxa"/>
            <w:shd w:val="clear" w:color="auto" w:fill="auto"/>
          </w:tcPr>
          <w:p w:rsidR="00DC63F0" w:rsidRPr="005872A5" w:rsidRDefault="009A2DAA" w:rsidP="00672C60">
            <w:pPr>
              <w:rPr>
                <w:rFonts w:ascii="Times New Roman" w:hAnsi="Times New Roman" w:cs="Times New Roman"/>
              </w:rPr>
            </w:pPr>
            <w:r>
              <w:rPr>
                <w:rFonts w:ascii="Times New Roman" w:hAnsi="Times New Roman" w:cs="Times New Roman"/>
              </w:rPr>
              <w:t>Art. 1 pkt 32</w:t>
            </w:r>
          </w:p>
        </w:tc>
        <w:tc>
          <w:tcPr>
            <w:tcW w:w="6663" w:type="dxa"/>
            <w:shd w:val="clear" w:color="auto" w:fill="auto"/>
          </w:tcPr>
          <w:p w:rsidR="009A2DAA" w:rsidRPr="009A2DAA" w:rsidRDefault="009A2DAA" w:rsidP="009A2DAA">
            <w:pPr>
              <w:jc w:val="both"/>
              <w:rPr>
                <w:rFonts w:ascii="Times New Roman" w:hAnsi="Times New Roman" w:cs="Times New Roman"/>
              </w:rPr>
            </w:pPr>
            <w:r w:rsidRPr="009A2DAA">
              <w:rPr>
                <w:rFonts w:ascii="Times New Roman" w:hAnsi="Times New Roman" w:cs="Times New Roman"/>
              </w:rPr>
              <w:t>Zaproponowana zmiana art. 16y ustawy z dnia 21 marca 1985 r. o drogach</w:t>
            </w:r>
            <w:r>
              <w:rPr>
                <w:rFonts w:ascii="Times New Roman" w:hAnsi="Times New Roman" w:cs="Times New Roman"/>
              </w:rPr>
              <w:t xml:space="preserve"> publicznych</w:t>
            </w:r>
            <w:r w:rsidRPr="009A2DAA">
              <w:rPr>
                <w:rFonts w:ascii="Times New Roman" w:hAnsi="Times New Roman" w:cs="Times New Roman"/>
              </w:rPr>
              <w:t xml:space="preserve"> służy wdrożeniu art. 16 dyrektywy PE i Rad</w:t>
            </w:r>
            <w:r>
              <w:rPr>
                <w:rFonts w:ascii="Times New Roman" w:hAnsi="Times New Roman" w:cs="Times New Roman"/>
              </w:rPr>
              <w:t xml:space="preserve">y (UE) 2019/520 z dnia 19 marca </w:t>
            </w:r>
            <w:r w:rsidRPr="009A2DAA">
              <w:rPr>
                <w:rFonts w:ascii="Times New Roman" w:hAnsi="Times New Roman" w:cs="Times New Roman"/>
              </w:rPr>
              <w:t>2019 r. w sprawie interoperacyjności systemów elektronic</w:t>
            </w:r>
            <w:r>
              <w:rPr>
                <w:rFonts w:ascii="Times New Roman" w:hAnsi="Times New Roman" w:cs="Times New Roman"/>
              </w:rPr>
              <w:t xml:space="preserve">znego poboru opłat drogowych </w:t>
            </w:r>
            <w:r w:rsidRPr="009A2DAA">
              <w:rPr>
                <w:rFonts w:ascii="Times New Roman" w:hAnsi="Times New Roman" w:cs="Times New Roman"/>
              </w:rPr>
              <w:t>i ułatwiania transgranicznej wymiany informacji na temat</w:t>
            </w:r>
            <w:r>
              <w:rPr>
                <w:rFonts w:ascii="Times New Roman" w:hAnsi="Times New Roman" w:cs="Times New Roman"/>
              </w:rPr>
              <w:t xml:space="preserve"> przypadków nieuiszczenia opłat drogowych w Unii</w:t>
            </w:r>
            <w:r w:rsidRPr="009A2DAA">
              <w:rPr>
                <w:rFonts w:ascii="Times New Roman" w:hAnsi="Times New Roman" w:cs="Times New Roman"/>
              </w:rPr>
              <w:t>, w której ustanowiono procedurę oc</w:t>
            </w:r>
            <w:r>
              <w:rPr>
                <w:rFonts w:ascii="Times New Roman" w:hAnsi="Times New Roman" w:cs="Times New Roman"/>
              </w:rPr>
              <w:t xml:space="preserve">hronną w przypadku wprowadzenia </w:t>
            </w:r>
            <w:r w:rsidRPr="009A2DAA">
              <w:rPr>
                <w:rFonts w:ascii="Times New Roman" w:hAnsi="Times New Roman" w:cs="Times New Roman"/>
              </w:rPr>
              <w:t>do obrotu składników i</w:t>
            </w:r>
            <w:r>
              <w:rPr>
                <w:rFonts w:ascii="Times New Roman" w:hAnsi="Times New Roman" w:cs="Times New Roman"/>
              </w:rPr>
              <w:t xml:space="preserve">nteroperacyjności posiadających </w:t>
            </w:r>
            <w:r w:rsidRPr="009A2DAA">
              <w:rPr>
                <w:rFonts w:ascii="Times New Roman" w:hAnsi="Times New Roman" w:cs="Times New Roman"/>
              </w:rPr>
              <w:t>ozn</w:t>
            </w:r>
            <w:r>
              <w:rPr>
                <w:rFonts w:ascii="Times New Roman" w:hAnsi="Times New Roman" w:cs="Times New Roman"/>
              </w:rPr>
              <w:t xml:space="preserve">akowanie CE i nie spełniających </w:t>
            </w:r>
            <w:r w:rsidRPr="009A2DAA">
              <w:rPr>
                <w:rFonts w:ascii="Times New Roman" w:hAnsi="Times New Roman" w:cs="Times New Roman"/>
              </w:rPr>
              <w:t>istotnych wymogów określonych w odrębnych aktach. Z</w:t>
            </w:r>
            <w:r>
              <w:rPr>
                <w:rFonts w:ascii="Times New Roman" w:hAnsi="Times New Roman" w:cs="Times New Roman"/>
              </w:rPr>
              <w:t xml:space="preserve">godnie z art. 16 dyrektywy (UE) </w:t>
            </w:r>
            <w:r w:rsidRPr="009A2DAA">
              <w:rPr>
                <w:rFonts w:ascii="Times New Roman" w:hAnsi="Times New Roman" w:cs="Times New Roman"/>
              </w:rPr>
              <w:t>2019/520, wskazanie czy stwierdzona przez organ</w:t>
            </w:r>
            <w:r>
              <w:rPr>
                <w:rFonts w:ascii="Times New Roman" w:hAnsi="Times New Roman" w:cs="Times New Roman"/>
              </w:rPr>
              <w:t xml:space="preserve"> prowadzący postępowanie (czyli </w:t>
            </w:r>
            <w:r w:rsidRPr="009A2DAA">
              <w:rPr>
                <w:rFonts w:ascii="Times New Roman" w:hAnsi="Times New Roman" w:cs="Times New Roman"/>
              </w:rPr>
              <w:t>wojewódzkiego inspektora transportu drogowego) niezgodność s</w:t>
            </w:r>
            <w:r>
              <w:rPr>
                <w:rFonts w:ascii="Times New Roman" w:hAnsi="Times New Roman" w:cs="Times New Roman"/>
              </w:rPr>
              <w:t xml:space="preserve">kładnika </w:t>
            </w:r>
            <w:r w:rsidRPr="009A2DAA">
              <w:rPr>
                <w:rFonts w:ascii="Times New Roman" w:hAnsi="Times New Roman" w:cs="Times New Roman"/>
              </w:rPr>
              <w:t>interoperacyjności EETS wynika z nieprawidłowego zastosowania specyfikacji technicznych</w:t>
            </w:r>
          </w:p>
          <w:p w:rsidR="00DC63F0" w:rsidRDefault="009A2DAA" w:rsidP="009A2DAA">
            <w:pPr>
              <w:jc w:val="both"/>
              <w:rPr>
                <w:rFonts w:ascii="Times New Roman" w:hAnsi="Times New Roman" w:cs="Times New Roman"/>
              </w:rPr>
            </w:pPr>
            <w:r w:rsidRPr="009A2DAA">
              <w:rPr>
                <w:rFonts w:ascii="Times New Roman" w:hAnsi="Times New Roman" w:cs="Times New Roman"/>
              </w:rPr>
              <w:t>lub z nieadekwatności specyfikacji technicznych,</w:t>
            </w:r>
            <w:r>
              <w:rPr>
                <w:rFonts w:ascii="Times New Roman" w:hAnsi="Times New Roman" w:cs="Times New Roman"/>
              </w:rPr>
              <w:t xml:space="preserve"> powinno być umieszczone wprost </w:t>
            </w:r>
            <w:r w:rsidRPr="009A2DAA">
              <w:rPr>
                <w:rFonts w:ascii="Times New Roman" w:hAnsi="Times New Roman" w:cs="Times New Roman"/>
              </w:rPr>
              <w:t>w uzasadnieniu decyzji („podjętego środka”). Zatem proponuję zmianę brzmienia a</w:t>
            </w:r>
            <w:r>
              <w:rPr>
                <w:rFonts w:ascii="Times New Roman" w:hAnsi="Times New Roman" w:cs="Times New Roman"/>
              </w:rPr>
              <w:t xml:space="preserve">rt. 1 </w:t>
            </w:r>
            <w:r w:rsidRPr="009A2DAA">
              <w:rPr>
                <w:rFonts w:ascii="Times New Roman" w:hAnsi="Times New Roman" w:cs="Times New Roman"/>
              </w:rPr>
              <w:t>pkt 32 projektu i zastąpienie go przepisem o poniższym brzmieniu:</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„32) art. 16y otrzymuje brzmienie:</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Art. 16y. 1. Kontrolę składników interoperacyjności EETS przeprowadza organ nadzoru</w:t>
            </w:r>
            <w:r>
              <w:rPr>
                <w:rFonts w:ascii="Times New Roman" w:hAnsi="Times New Roman" w:cs="Times New Roman"/>
                <w:i/>
                <w:iCs/>
              </w:rPr>
              <w:t xml:space="preserve"> </w:t>
            </w:r>
            <w:r w:rsidRPr="009A2DAA">
              <w:rPr>
                <w:rFonts w:ascii="Times New Roman" w:hAnsi="Times New Roman" w:cs="Times New Roman"/>
                <w:i/>
                <w:iCs/>
              </w:rPr>
              <w:t>rynku, o którym mowa w art. 58 ust. 2 pkt 8 ustawy z dnia 13 kwietnia 2016 r.</w:t>
            </w:r>
            <w:r>
              <w:rPr>
                <w:rFonts w:ascii="Times New Roman" w:hAnsi="Times New Roman" w:cs="Times New Roman"/>
                <w:i/>
                <w:iCs/>
              </w:rPr>
              <w:t xml:space="preserve"> </w:t>
            </w:r>
            <w:r w:rsidRPr="009A2DAA">
              <w:rPr>
                <w:rFonts w:ascii="Times New Roman" w:hAnsi="Times New Roman" w:cs="Times New Roman"/>
                <w:i/>
                <w:iCs/>
              </w:rPr>
              <w:t>o systemach oceny zgodności i nadzoru rynku.</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2. Postępowanie w sprawach wprowadzonych do obrotu składników interoperacyjności</w:t>
            </w:r>
            <w:r>
              <w:rPr>
                <w:rFonts w:ascii="Times New Roman" w:hAnsi="Times New Roman" w:cs="Times New Roman"/>
                <w:i/>
                <w:iCs/>
              </w:rPr>
              <w:t xml:space="preserve"> </w:t>
            </w:r>
            <w:r w:rsidRPr="009A2DAA">
              <w:rPr>
                <w:rFonts w:ascii="Times New Roman" w:hAnsi="Times New Roman" w:cs="Times New Roman"/>
                <w:i/>
                <w:iCs/>
              </w:rPr>
              <w:t>EETS niezgodnych z wymaganiami, o których mowa w art. 16x ust. 1 i 1a, prowadzą organy</w:t>
            </w:r>
            <w:r>
              <w:rPr>
                <w:rFonts w:ascii="Times New Roman" w:hAnsi="Times New Roman" w:cs="Times New Roman"/>
                <w:i/>
                <w:iCs/>
              </w:rPr>
              <w:t xml:space="preserve"> </w:t>
            </w:r>
            <w:r w:rsidRPr="009A2DAA">
              <w:rPr>
                <w:rFonts w:ascii="Times New Roman" w:hAnsi="Times New Roman" w:cs="Times New Roman"/>
                <w:i/>
                <w:iCs/>
              </w:rPr>
              <w:t>nadzoru rynku, o których mowa w art. 58 ust. 3 pkt 8 ustawy z dnia 13 kwietnia 2016 r.</w:t>
            </w:r>
            <w:r>
              <w:rPr>
                <w:rFonts w:ascii="Times New Roman" w:hAnsi="Times New Roman" w:cs="Times New Roman"/>
                <w:i/>
                <w:iCs/>
              </w:rPr>
              <w:t xml:space="preserve"> </w:t>
            </w:r>
            <w:r w:rsidRPr="009A2DAA">
              <w:rPr>
                <w:rFonts w:ascii="Times New Roman" w:hAnsi="Times New Roman" w:cs="Times New Roman"/>
                <w:i/>
                <w:iCs/>
              </w:rPr>
              <w:t>o systemach oceny zgodności i nadzoru rynku.</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2a. Organy, o których mowa w ust. 1 i 2, nie przeprowadzają ani nie zlecają kontroli</w:t>
            </w:r>
            <w:r>
              <w:rPr>
                <w:rFonts w:ascii="Times New Roman" w:hAnsi="Times New Roman" w:cs="Times New Roman"/>
                <w:i/>
                <w:iCs/>
              </w:rPr>
              <w:t xml:space="preserve"> </w:t>
            </w:r>
            <w:r w:rsidRPr="009A2DAA">
              <w:rPr>
                <w:rFonts w:ascii="Times New Roman" w:hAnsi="Times New Roman" w:cs="Times New Roman"/>
                <w:i/>
                <w:iCs/>
              </w:rPr>
              <w:t>składników interoperacyjności EETS, które już zostały przeprowadzone jako część</w:t>
            </w:r>
            <w:r>
              <w:rPr>
                <w:rFonts w:ascii="Times New Roman" w:hAnsi="Times New Roman" w:cs="Times New Roman"/>
                <w:i/>
                <w:iCs/>
              </w:rPr>
              <w:t xml:space="preserve"> </w:t>
            </w:r>
            <w:r w:rsidRPr="009A2DAA">
              <w:rPr>
                <w:rFonts w:ascii="Times New Roman" w:hAnsi="Times New Roman" w:cs="Times New Roman"/>
                <w:i/>
                <w:iCs/>
              </w:rPr>
              <w:t>procedury oceny zgodności lub przydatności do stosowania w EETS, zgodnie z przepisami</w:t>
            </w:r>
            <w:r>
              <w:rPr>
                <w:rFonts w:ascii="Times New Roman" w:hAnsi="Times New Roman" w:cs="Times New Roman"/>
                <w:i/>
                <w:iCs/>
              </w:rPr>
              <w:t xml:space="preserve"> </w:t>
            </w:r>
            <w:r w:rsidRPr="009A2DAA">
              <w:rPr>
                <w:rFonts w:ascii="Times New Roman" w:hAnsi="Times New Roman" w:cs="Times New Roman"/>
                <w:i/>
                <w:iCs/>
              </w:rPr>
              <w:t>wydanymi przez Komisję Europejską na podstawie art. 15 ust. 7 dyrektywy 2019/520.</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lastRenderedPageBreak/>
              <w:t>2b. Organ, o którym mowa w ust. 2, wydając postanowienie, o którym mowa w art. 82</w:t>
            </w:r>
            <w:r>
              <w:rPr>
                <w:rFonts w:ascii="Times New Roman" w:hAnsi="Times New Roman" w:cs="Times New Roman"/>
                <w:i/>
                <w:iCs/>
              </w:rPr>
              <w:t xml:space="preserve"> </w:t>
            </w:r>
            <w:r w:rsidRPr="009A2DAA">
              <w:rPr>
                <w:rFonts w:ascii="Times New Roman" w:hAnsi="Times New Roman" w:cs="Times New Roman"/>
                <w:i/>
                <w:iCs/>
              </w:rPr>
              <w:t>ust. 1 ustawy z dnia 13 kwietnia 2016 r. o systemach oceny zgodności i nadzoru rynku,</w:t>
            </w:r>
            <w:r>
              <w:rPr>
                <w:rFonts w:ascii="Times New Roman" w:hAnsi="Times New Roman" w:cs="Times New Roman"/>
                <w:i/>
                <w:iCs/>
              </w:rPr>
              <w:t xml:space="preserve"> </w:t>
            </w:r>
            <w:r w:rsidRPr="009A2DAA">
              <w:rPr>
                <w:rFonts w:ascii="Times New Roman" w:hAnsi="Times New Roman" w:cs="Times New Roman"/>
                <w:i/>
                <w:iCs/>
              </w:rPr>
              <w:t>wzywa producenta lub upoważnionego przedstawiciela do usunięcia niezgodności składnika</w:t>
            </w:r>
            <w:r>
              <w:rPr>
                <w:rFonts w:ascii="Times New Roman" w:hAnsi="Times New Roman" w:cs="Times New Roman"/>
                <w:i/>
                <w:iCs/>
              </w:rPr>
              <w:t xml:space="preserve"> </w:t>
            </w:r>
            <w:r w:rsidRPr="009A2DAA">
              <w:rPr>
                <w:rFonts w:ascii="Times New Roman" w:hAnsi="Times New Roman" w:cs="Times New Roman"/>
                <w:i/>
                <w:iCs/>
              </w:rPr>
              <w:t>interoperacyjności EETS z wymaganiami, o których mowa w art. 16x ust. 1 lub 1a.</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3. Jeśli organ nadzoru rynku, o którym mowa w ust. 2, wyda decyzję, o której mowa</w:t>
            </w:r>
            <w:r>
              <w:rPr>
                <w:rFonts w:ascii="Times New Roman" w:hAnsi="Times New Roman" w:cs="Times New Roman"/>
                <w:i/>
                <w:iCs/>
              </w:rPr>
              <w:t xml:space="preserve"> </w:t>
            </w:r>
            <w:r w:rsidRPr="009A2DAA">
              <w:rPr>
                <w:rFonts w:ascii="Times New Roman" w:hAnsi="Times New Roman" w:cs="Times New Roman"/>
                <w:i/>
                <w:iCs/>
              </w:rPr>
              <w:t>w art. 84 ust. 2 ustawy z dnia 13 kwietnia 2016 r. o systemach oceny zgodności i nadzoru</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rynku, informuje o tym niezwłocznie Komisję wraz z podaniem podstawy podjętej decyzji,</w:t>
            </w:r>
            <w:r>
              <w:rPr>
                <w:rFonts w:ascii="Times New Roman" w:hAnsi="Times New Roman" w:cs="Times New Roman"/>
                <w:i/>
                <w:iCs/>
              </w:rPr>
              <w:t xml:space="preserve"> </w:t>
            </w:r>
            <w:r w:rsidRPr="009A2DAA">
              <w:rPr>
                <w:rFonts w:ascii="Times New Roman" w:hAnsi="Times New Roman" w:cs="Times New Roman"/>
                <w:i/>
                <w:iCs/>
              </w:rPr>
              <w:t>określając przede wszystkim, czy niezgodność wynika z:</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a) nieprawidłowego zastosowania specyfikacji technicznych; lub</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b) nieadekwatności specyfikacji technicznych.</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4. Jeśli organ nadzoru rynku, o którym mowa w ust. 2, wyda decyzję, o której mowa</w:t>
            </w:r>
            <w:r>
              <w:rPr>
                <w:rFonts w:ascii="Times New Roman" w:hAnsi="Times New Roman" w:cs="Times New Roman"/>
                <w:i/>
                <w:iCs/>
              </w:rPr>
              <w:t xml:space="preserve"> </w:t>
            </w:r>
            <w:r w:rsidRPr="009A2DAA">
              <w:rPr>
                <w:rFonts w:ascii="Times New Roman" w:hAnsi="Times New Roman" w:cs="Times New Roman"/>
                <w:i/>
                <w:iCs/>
              </w:rPr>
              <w:t>w art. 84 ust. 1 ustawy z dnia 13 kwietnia 2016 r. o systemach oceny zgodności i nadzoru</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rynku, informuje o tym Komisję i pozostałe państwa członkowskie.</w:t>
            </w:r>
          </w:p>
          <w:p w:rsidR="009A2DAA" w:rsidRPr="009A2DAA" w:rsidRDefault="009A2DAA" w:rsidP="009A2DAA">
            <w:pPr>
              <w:jc w:val="both"/>
              <w:rPr>
                <w:rFonts w:ascii="Times New Roman" w:hAnsi="Times New Roman" w:cs="Times New Roman"/>
                <w:i/>
                <w:iCs/>
              </w:rPr>
            </w:pPr>
            <w:r w:rsidRPr="009A2DAA">
              <w:rPr>
                <w:rFonts w:ascii="Times New Roman" w:hAnsi="Times New Roman" w:cs="Times New Roman"/>
                <w:i/>
                <w:iCs/>
              </w:rPr>
              <w:t>5. W przypadku gdy Komisja Europejska poinformuje organ nadzoru rynku, o którym mowa</w:t>
            </w:r>
            <w:r>
              <w:rPr>
                <w:rFonts w:ascii="Times New Roman" w:hAnsi="Times New Roman" w:cs="Times New Roman"/>
                <w:i/>
                <w:iCs/>
              </w:rPr>
              <w:t xml:space="preserve"> </w:t>
            </w:r>
            <w:r w:rsidRPr="009A2DAA">
              <w:rPr>
                <w:rFonts w:ascii="Times New Roman" w:hAnsi="Times New Roman" w:cs="Times New Roman"/>
                <w:i/>
                <w:iCs/>
              </w:rPr>
              <w:t>w ust. 2, o uznaniu środka, o którym mowa w ust. 3, za nieuzasadniony, organ nadzoru</w:t>
            </w:r>
            <w:r>
              <w:rPr>
                <w:rFonts w:ascii="Times New Roman" w:hAnsi="Times New Roman" w:cs="Times New Roman"/>
                <w:i/>
                <w:iCs/>
              </w:rPr>
              <w:t xml:space="preserve"> </w:t>
            </w:r>
            <w:r w:rsidRPr="009A2DAA">
              <w:rPr>
                <w:rFonts w:ascii="Times New Roman" w:hAnsi="Times New Roman" w:cs="Times New Roman"/>
                <w:i/>
                <w:iCs/>
              </w:rPr>
              <w:t>rynku uznaje decyzję, o której mowa w ust. 3, za bezprzedmiotową i uchyla ją.”</w:t>
            </w:r>
          </w:p>
          <w:p w:rsidR="009A2DAA" w:rsidRPr="009A2DAA" w:rsidRDefault="009A2DAA" w:rsidP="009A2DAA">
            <w:pPr>
              <w:jc w:val="both"/>
              <w:rPr>
                <w:rFonts w:ascii="Times New Roman" w:hAnsi="Times New Roman" w:cs="Times New Roman"/>
              </w:rPr>
            </w:pPr>
            <w:r w:rsidRPr="009A2DAA">
              <w:rPr>
                <w:rFonts w:ascii="Times New Roman" w:hAnsi="Times New Roman" w:cs="Times New Roman"/>
              </w:rPr>
              <w:t>Należy wyjaśnić, że obecnie organy nadzoru rynku przekazują informacje Komisji</w:t>
            </w:r>
            <w:r>
              <w:rPr>
                <w:rFonts w:ascii="Times New Roman" w:hAnsi="Times New Roman" w:cs="Times New Roman"/>
              </w:rPr>
              <w:t xml:space="preserve"> </w:t>
            </w:r>
            <w:r w:rsidRPr="009A2DAA">
              <w:rPr>
                <w:rFonts w:ascii="Times New Roman" w:hAnsi="Times New Roman" w:cs="Times New Roman"/>
              </w:rPr>
              <w:t>Europejskiej i pozostałym państwom członkowskim, w tym w procedurze ochronnej</w:t>
            </w:r>
          </w:p>
          <w:p w:rsidR="009A2DAA" w:rsidRPr="009A2DAA" w:rsidRDefault="009A2DAA" w:rsidP="009A2DAA">
            <w:pPr>
              <w:jc w:val="both"/>
              <w:rPr>
                <w:rFonts w:ascii="Times New Roman" w:hAnsi="Times New Roman" w:cs="Times New Roman"/>
                <w:b/>
                <w:bCs/>
              </w:rPr>
            </w:pPr>
            <w:r w:rsidRPr="009A2DAA">
              <w:rPr>
                <w:rFonts w:ascii="Times New Roman" w:hAnsi="Times New Roman" w:cs="Times New Roman"/>
              </w:rPr>
              <w:t>(</w:t>
            </w:r>
            <w:r w:rsidRPr="009A2DAA">
              <w:rPr>
                <w:rFonts w:ascii="Times New Roman" w:hAnsi="Times New Roman" w:cs="Times New Roman"/>
                <w:i/>
                <w:iCs/>
              </w:rPr>
              <w:t>safeguard procedure</w:t>
            </w:r>
            <w:r w:rsidRPr="009A2DAA">
              <w:rPr>
                <w:rFonts w:ascii="Times New Roman" w:hAnsi="Times New Roman" w:cs="Times New Roman"/>
              </w:rPr>
              <w:t xml:space="preserve">), </w:t>
            </w:r>
            <w:r w:rsidRPr="009A2DAA">
              <w:rPr>
                <w:rFonts w:ascii="Times New Roman" w:hAnsi="Times New Roman" w:cs="Times New Roman"/>
                <w:bCs/>
              </w:rPr>
              <w:t xml:space="preserve">bez pośrednictwa Prezesa Urzędu Ochrony Konkurencji i Konsumentów (UOKiK) </w:t>
            </w:r>
            <w:r w:rsidRPr="009A2DAA">
              <w:rPr>
                <w:rFonts w:ascii="Times New Roman" w:hAnsi="Times New Roman" w:cs="Times New Roman"/>
              </w:rPr>
              <w:t>(por. art. 62 ustawy z dnia 13 kwietnia 2016 r. o systemach oceny</w:t>
            </w:r>
            <w:r>
              <w:rPr>
                <w:rFonts w:ascii="Times New Roman" w:hAnsi="Times New Roman" w:cs="Times New Roman"/>
                <w:b/>
                <w:bCs/>
              </w:rPr>
              <w:t xml:space="preserve"> </w:t>
            </w:r>
            <w:r w:rsidRPr="009A2DAA">
              <w:rPr>
                <w:rFonts w:ascii="Times New Roman" w:hAnsi="Times New Roman" w:cs="Times New Roman"/>
              </w:rPr>
              <w:t>zgodności i nadzoru rynku).</w:t>
            </w:r>
          </w:p>
          <w:p w:rsidR="009A2DAA" w:rsidRPr="009A2DAA" w:rsidRDefault="009A2DAA" w:rsidP="009A2DAA">
            <w:pPr>
              <w:jc w:val="both"/>
              <w:rPr>
                <w:rFonts w:ascii="Times New Roman" w:hAnsi="Times New Roman" w:cs="Times New Roman"/>
              </w:rPr>
            </w:pPr>
            <w:r w:rsidRPr="009A2DAA">
              <w:rPr>
                <w:rFonts w:ascii="Times New Roman" w:hAnsi="Times New Roman" w:cs="Times New Roman"/>
              </w:rPr>
              <w:t>Jednocześnie wyjaśniam, że art. 16y ust. 3 ustawy o drogach publicznych był</w:t>
            </w:r>
            <w:r>
              <w:rPr>
                <w:rFonts w:ascii="Times New Roman" w:hAnsi="Times New Roman" w:cs="Times New Roman"/>
              </w:rPr>
              <w:t xml:space="preserve"> </w:t>
            </w:r>
            <w:r w:rsidRPr="009A2DAA">
              <w:rPr>
                <w:rFonts w:ascii="Times New Roman" w:hAnsi="Times New Roman" w:cs="Times New Roman"/>
              </w:rPr>
              <w:t>prawdopodobnie wzorowany na rozwiązaniach przyjętych w ustawie z dnia 30 sierpnia</w:t>
            </w:r>
          </w:p>
          <w:p w:rsidR="009A2DAA" w:rsidRPr="009A2DAA" w:rsidRDefault="009A2DAA" w:rsidP="009A2DAA">
            <w:pPr>
              <w:jc w:val="both"/>
              <w:rPr>
                <w:rFonts w:ascii="Times New Roman" w:hAnsi="Times New Roman" w:cs="Times New Roman"/>
              </w:rPr>
            </w:pPr>
            <w:r w:rsidRPr="009A2DAA">
              <w:rPr>
                <w:rFonts w:ascii="Times New Roman" w:hAnsi="Times New Roman" w:cs="Times New Roman"/>
              </w:rPr>
              <w:t>2002 r. o systemie oceny zgodności4. W wyniku wejścia w życie rozporządzenia PE i Rady</w:t>
            </w:r>
            <w:r>
              <w:rPr>
                <w:rFonts w:ascii="Times New Roman" w:hAnsi="Times New Roman" w:cs="Times New Roman"/>
              </w:rPr>
              <w:t xml:space="preserve"> </w:t>
            </w:r>
            <w:r w:rsidRPr="009A2DAA">
              <w:rPr>
                <w:rFonts w:ascii="Times New Roman" w:hAnsi="Times New Roman" w:cs="Times New Roman"/>
              </w:rPr>
              <w:t>(UE) 2019/1020 z dnia 20 czerwca 2019 r. w sprawie nadzoru rynku i zgodności produktów</w:t>
            </w:r>
            <w:r>
              <w:rPr>
                <w:rFonts w:ascii="Times New Roman" w:hAnsi="Times New Roman" w:cs="Times New Roman"/>
              </w:rPr>
              <w:t xml:space="preserve"> </w:t>
            </w:r>
            <w:r w:rsidRPr="009A2DAA">
              <w:rPr>
                <w:rFonts w:ascii="Times New Roman" w:hAnsi="Times New Roman" w:cs="Times New Roman"/>
              </w:rPr>
              <w:t>oraz zmieniającego dyrektywę 2004/42/WE oraz rozporządzenia (WE) nr 765/2008 i (UE) nr</w:t>
            </w:r>
            <w:r>
              <w:rPr>
                <w:rFonts w:ascii="Times New Roman" w:hAnsi="Times New Roman" w:cs="Times New Roman"/>
              </w:rPr>
              <w:t xml:space="preserve"> </w:t>
            </w:r>
            <w:r w:rsidRPr="009A2DAA">
              <w:rPr>
                <w:rFonts w:ascii="Times New Roman" w:hAnsi="Times New Roman" w:cs="Times New Roman"/>
              </w:rPr>
              <w:t>305/20115, konieczna jest nowelizacja uosoz oraz uosozinr, polegająca na wyłączeniu</w:t>
            </w:r>
            <w:r>
              <w:rPr>
                <w:rFonts w:ascii="Times New Roman" w:hAnsi="Times New Roman" w:cs="Times New Roman"/>
              </w:rPr>
              <w:t xml:space="preserve"> </w:t>
            </w:r>
            <w:r w:rsidRPr="009A2DAA">
              <w:rPr>
                <w:rFonts w:ascii="Times New Roman" w:hAnsi="Times New Roman" w:cs="Times New Roman"/>
              </w:rPr>
              <w:t xml:space="preserve">przepisów dotyczących systemu nadzoru rynku (obecny </w:t>
            </w:r>
            <w:r w:rsidRPr="009A2DAA">
              <w:rPr>
                <w:rFonts w:ascii="Times New Roman" w:hAnsi="Times New Roman" w:cs="Times New Roman"/>
              </w:rPr>
              <w:lastRenderedPageBreak/>
              <w:t>rozdział 6 uosoz oraz 7 uosozinr)</w:t>
            </w:r>
            <w:r>
              <w:rPr>
                <w:rFonts w:ascii="Times New Roman" w:hAnsi="Times New Roman" w:cs="Times New Roman"/>
              </w:rPr>
              <w:t xml:space="preserve"> </w:t>
            </w:r>
            <w:r w:rsidRPr="009A2DAA">
              <w:rPr>
                <w:rFonts w:ascii="Times New Roman" w:hAnsi="Times New Roman" w:cs="Times New Roman"/>
              </w:rPr>
              <w:t>oraz określenie na nowo roli Prezesa UOKiK w krajowym systemie. Jednym z zadań</w:t>
            </w:r>
          </w:p>
          <w:p w:rsidR="009A2DAA" w:rsidRDefault="009A2DAA" w:rsidP="009A2DAA">
            <w:pPr>
              <w:jc w:val="both"/>
              <w:rPr>
                <w:rFonts w:ascii="Times New Roman" w:hAnsi="Times New Roman" w:cs="Times New Roman"/>
              </w:rPr>
            </w:pPr>
            <w:r w:rsidRPr="009A2DAA">
              <w:rPr>
                <w:rFonts w:ascii="Times New Roman" w:hAnsi="Times New Roman" w:cs="Times New Roman"/>
              </w:rPr>
              <w:t>Międzyresortowego Zespołu ds. reformy systemów oceny zgodności i nadzoru rynku jest</w:t>
            </w:r>
            <w:r>
              <w:rPr>
                <w:rFonts w:ascii="Times New Roman" w:hAnsi="Times New Roman" w:cs="Times New Roman"/>
              </w:rPr>
              <w:t xml:space="preserve"> </w:t>
            </w:r>
            <w:r w:rsidRPr="009A2DAA">
              <w:rPr>
                <w:rFonts w:ascii="Times New Roman" w:hAnsi="Times New Roman" w:cs="Times New Roman"/>
              </w:rPr>
              <w:t>właśnie przegląd i uporządkowanie krajowego systemu w związku z wejściem w życie rozp.</w:t>
            </w:r>
            <w:r>
              <w:rPr>
                <w:rFonts w:ascii="Times New Roman" w:hAnsi="Times New Roman" w:cs="Times New Roman"/>
              </w:rPr>
              <w:t xml:space="preserve"> </w:t>
            </w:r>
            <w:r w:rsidRPr="009A2DAA">
              <w:rPr>
                <w:rFonts w:ascii="Times New Roman" w:hAnsi="Times New Roman" w:cs="Times New Roman"/>
              </w:rPr>
              <w:t>(UE) 2019/1020.</w:t>
            </w:r>
          </w:p>
          <w:p w:rsidR="009A2DAA" w:rsidRPr="009A2DAA" w:rsidRDefault="009A2DAA" w:rsidP="009A2DAA">
            <w:pPr>
              <w:jc w:val="both"/>
              <w:rPr>
                <w:rFonts w:ascii="Times New Roman" w:hAnsi="Times New Roman" w:cs="Times New Roman"/>
              </w:rPr>
            </w:pPr>
            <w:r w:rsidRPr="009A2DAA">
              <w:rPr>
                <w:rFonts w:ascii="Times New Roman" w:hAnsi="Times New Roman" w:cs="Times New Roman"/>
              </w:rPr>
              <w:t>Od 16 lipca 2021 r. do celów komunikacji, w tym w ramach procedury ochronnej,</w:t>
            </w:r>
            <w:r>
              <w:rPr>
                <w:rFonts w:ascii="Times New Roman" w:hAnsi="Times New Roman" w:cs="Times New Roman"/>
              </w:rPr>
              <w:t xml:space="preserve"> </w:t>
            </w:r>
            <w:r w:rsidRPr="009A2DAA">
              <w:rPr>
                <w:rFonts w:ascii="Times New Roman" w:hAnsi="Times New Roman" w:cs="Times New Roman"/>
              </w:rPr>
              <w:t>służy system informacyjny i komunikacyjny, o którym mowa w art. 34 tego rozporządzenia</w:t>
            </w:r>
            <w:r>
              <w:rPr>
                <w:rFonts w:ascii="Times New Roman" w:hAnsi="Times New Roman" w:cs="Times New Roman"/>
              </w:rPr>
              <w:t xml:space="preserve"> (</w:t>
            </w:r>
            <w:r w:rsidRPr="009A2DAA">
              <w:rPr>
                <w:rFonts w:ascii="Times New Roman" w:hAnsi="Times New Roman" w:cs="Times New Roman"/>
              </w:rPr>
              <w:t>por. art. 16 ust. 6 i 7 rozp. (UE) 2019/1020 – system ICSMS). Dlatego Prezes UOKiK nie jest</w:t>
            </w:r>
            <w:r>
              <w:rPr>
                <w:rFonts w:ascii="Times New Roman" w:hAnsi="Times New Roman" w:cs="Times New Roman"/>
              </w:rPr>
              <w:t xml:space="preserve"> </w:t>
            </w:r>
            <w:r w:rsidRPr="009A2DAA">
              <w:rPr>
                <w:rFonts w:ascii="Times New Roman" w:hAnsi="Times New Roman" w:cs="Times New Roman"/>
              </w:rPr>
              <w:t>już właściwy do pośredniczenia między organem nadzoru rynku a Komisją Europejską</w:t>
            </w:r>
            <w:r>
              <w:rPr>
                <w:rFonts w:ascii="Times New Roman" w:hAnsi="Times New Roman" w:cs="Times New Roman"/>
              </w:rPr>
              <w:t xml:space="preserve"> </w:t>
            </w:r>
            <w:r w:rsidRPr="009A2DAA">
              <w:rPr>
                <w:rFonts w:ascii="Times New Roman" w:hAnsi="Times New Roman" w:cs="Times New Roman"/>
              </w:rPr>
              <w:t>i organami pozostałych państw członkowskich, w przekazywaniu tych informacji w zakresie</w:t>
            </w:r>
            <w:r>
              <w:rPr>
                <w:rFonts w:ascii="Times New Roman" w:hAnsi="Times New Roman" w:cs="Times New Roman"/>
              </w:rPr>
              <w:t xml:space="preserve"> </w:t>
            </w:r>
            <w:r w:rsidRPr="009A2DAA">
              <w:rPr>
                <w:rFonts w:ascii="Times New Roman" w:hAnsi="Times New Roman" w:cs="Times New Roman"/>
              </w:rPr>
              <w:t>żadnego aktu przewidującego wymianę informacji w ramach procedury ochronnej.</w:t>
            </w:r>
          </w:p>
          <w:p w:rsidR="009A2DAA" w:rsidRPr="009A2DAA" w:rsidRDefault="009A2DAA" w:rsidP="009A2DAA">
            <w:pPr>
              <w:jc w:val="both"/>
              <w:rPr>
                <w:rFonts w:ascii="Times New Roman" w:hAnsi="Times New Roman" w:cs="Times New Roman"/>
              </w:rPr>
            </w:pPr>
            <w:r w:rsidRPr="009A2DAA">
              <w:rPr>
                <w:rFonts w:ascii="Times New Roman" w:hAnsi="Times New Roman" w:cs="Times New Roman"/>
              </w:rPr>
              <w:t>Jednocześnie należy podkreślić, że w zakresie stosowania rozporządzenia (UE)</w:t>
            </w:r>
            <w:r>
              <w:rPr>
                <w:rFonts w:ascii="Times New Roman" w:hAnsi="Times New Roman" w:cs="Times New Roman"/>
              </w:rPr>
              <w:t xml:space="preserve"> </w:t>
            </w:r>
            <w:r w:rsidRPr="009A2DAA">
              <w:rPr>
                <w:rFonts w:ascii="Times New Roman" w:hAnsi="Times New Roman" w:cs="Times New Roman"/>
              </w:rPr>
              <w:t>2019/1020 nie wymieniono dyrektywy (UE) 2019/520 (por. załącznik I do rozp. (UE)</w:t>
            </w:r>
          </w:p>
          <w:p w:rsidR="009A2DAA" w:rsidRPr="009A2DAA" w:rsidRDefault="009A2DAA" w:rsidP="009A2DAA">
            <w:pPr>
              <w:jc w:val="both"/>
              <w:rPr>
                <w:rFonts w:ascii="Times New Roman" w:hAnsi="Times New Roman" w:cs="Times New Roman"/>
              </w:rPr>
            </w:pPr>
            <w:r w:rsidRPr="009A2DAA">
              <w:rPr>
                <w:rFonts w:ascii="Times New Roman" w:hAnsi="Times New Roman" w:cs="Times New Roman"/>
              </w:rPr>
              <w:t>2019/1020), co oznacza, że Komisja Europejska nie uznała tego aktu za wchodzący</w:t>
            </w:r>
            <w:r>
              <w:rPr>
                <w:rFonts w:ascii="Times New Roman" w:hAnsi="Times New Roman" w:cs="Times New Roman"/>
              </w:rPr>
              <w:t xml:space="preserve"> </w:t>
            </w:r>
            <w:r w:rsidRPr="009A2DAA">
              <w:rPr>
                <w:rFonts w:ascii="Times New Roman" w:hAnsi="Times New Roman" w:cs="Times New Roman"/>
              </w:rPr>
              <w:t>w zakres nowo tworzonego systemu nadzoru rynku.</w:t>
            </w:r>
          </w:p>
          <w:p w:rsidR="009A2DAA" w:rsidRPr="009A2DAA" w:rsidRDefault="009A2DAA" w:rsidP="009A2DAA">
            <w:pPr>
              <w:jc w:val="both"/>
              <w:rPr>
                <w:rFonts w:ascii="Times New Roman" w:hAnsi="Times New Roman" w:cs="Times New Roman"/>
              </w:rPr>
            </w:pPr>
            <w:r w:rsidRPr="009A2DAA">
              <w:rPr>
                <w:rFonts w:ascii="Times New Roman" w:hAnsi="Times New Roman" w:cs="Times New Roman"/>
              </w:rPr>
              <w:t>Zatem w mojej opinii procedurę ochronną obejmującą składniki interoperacyjności</w:t>
            </w:r>
            <w:r>
              <w:rPr>
                <w:rFonts w:ascii="Times New Roman" w:hAnsi="Times New Roman" w:cs="Times New Roman"/>
              </w:rPr>
              <w:t xml:space="preserve"> </w:t>
            </w:r>
            <w:r w:rsidRPr="009A2DAA">
              <w:rPr>
                <w:rFonts w:ascii="Times New Roman" w:hAnsi="Times New Roman" w:cs="Times New Roman"/>
              </w:rPr>
              <w:t>EETS, należy bezpośrednio określić w projektowanej zmianie ustawy, jednak z wyżej</w:t>
            </w:r>
          </w:p>
          <w:p w:rsidR="009A2DAA" w:rsidRPr="005872A5" w:rsidRDefault="009A2DAA" w:rsidP="009A2DAA">
            <w:pPr>
              <w:jc w:val="both"/>
              <w:rPr>
                <w:rFonts w:ascii="Times New Roman" w:hAnsi="Times New Roman" w:cs="Times New Roman"/>
              </w:rPr>
            </w:pPr>
            <w:r w:rsidRPr="009A2DAA">
              <w:rPr>
                <w:rFonts w:ascii="Times New Roman" w:hAnsi="Times New Roman" w:cs="Times New Roman"/>
              </w:rPr>
              <w:t>przywołanych powodów, bez udziału Prezesa UOKiK, co zaproponowano w nowym</w:t>
            </w:r>
            <w:r>
              <w:rPr>
                <w:rFonts w:ascii="Times New Roman" w:hAnsi="Times New Roman" w:cs="Times New Roman"/>
              </w:rPr>
              <w:t xml:space="preserve"> </w:t>
            </w:r>
            <w:r w:rsidRPr="009A2DAA">
              <w:rPr>
                <w:rFonts w:ascii="Times New Roman" w:hAnsi="Times New Roman" w:cs="Times New Roman"/>
              </w:rPr>
              <w:t>brzmieniu pkt. 32 projektu.</w:t>
            </w:r>
          </w:p>
        </w:tc>
        <w:tc>
          <w:tcPr>
            <w:tcW w:w="4785" w:type="dxa"/>
            <w:shd w:val="clear" w:color="auto" w:fill="auto"/>
          </w:tcPr>
          <w:p w:rsidR="00162AD0" w:rsidRDefault="00162AD0" w:rsidP="00162AD0">
            <w:pPr>
              <w:rPr>
                <w:rFonts w:ascii="Times New Roman" w:hAnsi="Times New Roman" w:cs="Times New Roman"/>
              </w:rPr>
            </w:pPr>
            <w:r>
              <w:rPr>
                <w:rFonts w:ascii="Times New Roman" w:hAnsi="Times New Roman" w:cs="Times New Roman"/>
              </w:rPr>
              <w:lastRenderedPageBreak/>
              <w:t>U</w:t>
            </w:r>
            <w:r w:rsidRPr="00162AD0">
              <w:rPr>
                <w:rFonts w:ascii="Times New Roman" w:hAnsi="Times New Roman" w:cs="Times New Roman"/>
              </w:rPr>
              <w:t xml:space="preserve">waga </w:t>
            </w:r>
            <w:r>
              <w:rPr>
                <w:rFonts w:ascii="Times New Roman" w:hAnsi="Times New Roman" w:cs="Times New Roman"/>
              </w:rPr>
              <w:t>uwzględniona.</w:t>
            </w:r>
          </w:p>
          <w:p w:rsidR="00162AD0" w:rsidRDefault="00162AD0" w:rsidP="00654AF8">
            <w:pPr>
              <w:jc w:val="both"/>
              <w:rPr>
                <w:rFonts w:ascii="Times New Roman" w:hAnsi="Times New Roman" w:cs="Times New Roman"/>
              </w:rPr>
            </w:pPr>
            <w:r>
              <w:rPr>
                <w:rFonts w:ascii="Times New Roman" w:hAnsi="Times New Roman" w:cs="Times New Roman"/>
              </w:rPr>
              <w:t>P</w:t>
            </w:r>
            <w:r w:rsidRPr="00162AD0">
              <w:rPr>
                <w:rFonts w:ascii="Times New Roman" w:hAnsi="Times New Roman" w:cs="Times New Roman"/>
              </w:rPr>
              <w:t>rojekt został zmieniony zgodnie z prop</w:t>
            </w:r>
            <w:r>
              <w:rPr>
                <w:rFonts w:ascii="Times New Roman" w:hAnsi="Times New Roman" w:cs="Times New Roman"/>
              </w:rPr>
              <w:t>ozycją przekazaną w ww. piśmie.</w:t>
            </w:r>
          </w:p>
          <w:p w:rsidR="00162AD0" w:rsidRPr="00162AD0" w:rsidRDefault="00162AD0" w:rsidP="00162AD0">
            <w:pPr>
              <w:rPr>
                <w:rFonts w:ascii="Times New Roman" w:hAnsi="Times New Roman" w:cs="Times New Roman"/>
              </w:rPr>
            </w:pPr>
          </w:p>
          <w:p w:rsidR="00DC63F0" w:rsidRPr="005872A5" w:rsidRDefault="00162AD0" w:rsidP="00654AF8">
            <w:pPr>
              <w:jc w:val="both"/>
              <w:rPr>
                <w:rFonts w:ascii="Times New Roman" w:hAnsi="Times New Roman" w:cs="Times New Roman"/>
              </w:rPr>
            </w:pPr>
            <w:r>
              <w:rPr>
                <w:rFonts w:ascii="Times New Roman" w:hAnsi="Times New Roman" w:cs="Times New Roman"/>
              </w:rPr>
              <w:t xml:space="preserve">Jednocześnie </w:t>
            </w:r>
            <w:r w:rsidR="00654AF8">
              <w:rPr>
                <w:rFonts w:ascii="Times New Roman" w:hAnsi="Times New Roman" w:cs="Times New Roman"/>
              </w:rPr>
              <w:t>zwrócono</w:t>
            </w:r>
            <w:r w:rsidRPr="00162AD0">
              <w:rPr>
                <w:rFonts w:ascii="Times New Roman" w:hAnsi="Times New Roman" w:cs="Times New Roman"/>
              </w:rPr>
              <w:t xml:space="preserve"> uwagę, że przepisy ustawy o drogach publicznych (art. 16w i art. 16y), również te zawarte w przedmiotowym projekcie ustawy będą musiały ulec zmianie w konsekwencji projektu ustawy o krajowym systemie nadzoru rynku w odniesieniu do produktów podlegających unijnemu prawodawstwu harmonizacyjnemu (UC113), który jest procedowany przez Ministra Rozwoju i Technologii. Zależnie więc od postępu prac nad obydwoma projektami ustaw, któryś z nich będzie musiał ulec zmianie.</w:t>
            </w:r>
          </w:p>
        </w:tc>
      </w:tr>
      <w:bookmarkEnd w:id="0"/>
    </w:tbl>
    <w:p w:rsidR="005D5716" w:rsidRDefault="005D5716"/>
    <w:sectPr w:rsidR="005D5716" w:rsidSect="00DC63F0">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410" w:rsidRDefault="00027410" w:rsidP="00DC63F0">
      <w:pPr>
        <w:spacing w:after="0" w:line="240" w:lineRule="auto"/>
      </w:pPr>
      <w:r>
        <w:separator/>
      </w:r>
    </w:p>
  </w:endnote>
  <w:endnote w:type="continuationSeparator" w:id="0">
    <w:p w:rsidR="00027410" w:rsidRDefault="00027410" w:rsidP="00DC6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6025916"/>
      <w:docPartObj>
        <w:docPartGallery w:val="Page Numbers (Bottom of Page)"/>
        <w:docPartUnique/>
      </w:docPartObj>
    </w:sdtPr>
    <w:sdtEndPr/>
    <w:sdtContent>
      <w:p w:rsidR="00834063" w:rsidRDefault="00834063">
        <w:pPr>
          <w:pStyle w:val="Stopka"/>
          <w:jc w:val="center"/>
        </w:pPr>
        <w:r>
          <w:fldChar w:fldCharType="begin"/>
        </w:r>
        <w:r>
          <w:instrText>PAGE   \* MERGEFORMAT</w:instrText>
        </w:r>
        <w:r>
          <w:fldChar w:fldCharType="separate"/>
        </w:r>
        <w:r w:rsidR="0094093A">
          <w:rPr>
            <w:noProof/>
          </w:rPr>
          <w:t>2</w:t>
        </w:r>
        <w:r>
          <w:fldChar w:fldCharType="end"/>
        </w:r>
      </w:p>
    </w:sdtContent>
  </w:sdt>
  <w:p w:rsidR="00834063" w:rsidRDefault="008340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410" w:rsidRDefault="00027410" w:rsidP="00DC63F0">
      <w:pPr>
        <w:spacing w:after="0" w:line="240" w:lineRule="auto"/>
      </w:pPr>
      <w:r>
        <w:separator/>
      </w:r>
    </w:p>
  </w:footnote>
  <w:footnote w:type="continuationSeparator" w:id="0">
    <w:p w:rsidR="00027410" w:rsidRDefault="00027410" w:rsidP="00DC63F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63F0" w:rsidRPr="00DC63F0" w:rsidRDefault="00DC63F0" w:rsidP="00DC63F0">
    <w:pPr>
      <w:jc w:val="both"/>
      <w:rPr>
        <w:rFonts w:ascii="Times New Roman" w:hAnsi="Times New Roman" w:cs="Times New Roman"/>
        <w:b/>
      </w:rPr>
    </w:pPr>
    <w:r w:rsidRPr="00584929">
      <w:rPr>
        <w:rFonts w:ascii="Times New Roman" w:hAnsi="Times New Roman" w:cs="Times New Roman"/>
        <w:b/>
      </w:rPr>
      <w:t>Zestawienie uwag zgłoszonych w ramach opiniowania projektu</w:t>
    </w:r>
    <w:r w:rsidRPr="00584929">
      <w:rPr>
        <w:rFonts w:ascii="Times New Roman" w:hAnsi="Times New Roman" w:cs="Times New Roman"/>
      </w:rPr>
      <w:t xml:space="preserve"> </w:t>
    </w:r>
    <w:r w:rsidRPr="00584929">
      <w:rPr>
        <w:rFonts w:ascii="Times New Roman" w:hAnsi="Times New Roman" w:cs="Times New Roman"/>
        <w:b/>
      </w:rPr>
      <w:t>ustawy o </w:t>
    </w:r>
    <w:r>
      <w:rPr>
        <w:rFonts w:ascii="Times New Roman" w:hAnsi="Times New Roman" w:cs="Times New Roman"/>
        <w:b/>
      </w:rPr>
      <w:t>zmianie ustawy o drogach publicznych oraz niektórych innych ustaw (UC88</w:t>
    </w:r>
    <w:r w:rsidRPr="00584929">
      <w:rPr>
        <w:rFonts w:ascii="Times New Roman" w:hAnsi="Times New Roman" w:cs="Times New Roman"/>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CC4568"/>
    <w:multiLevelType w:val="hybridMultilevel"/>
    <w:tmpl w:val="76CE3256"/>
    <w:lvl w:ilvl="0" w:tplc="B7BE9248">
      <w:start w:val="1"/>
      <w:numFmt w:val="decimal"/>
      <w:lvlText w:val="%1."/>
      <w:lvlJc w:val="left"/>
      <w:pPr>
        <w:ind w:left="7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3F0"/>
    <w:rsid w:val="00027410"/>
    <w:rsid w:val="0004098A"/>
    <w:rsid w:val="000D2765"/>
    <w:rsid w:val="00162AD0"/>
    <w:rsid w:val="00282055"/>
    <w:rsid w:val="003C6752"/>
    <w:rsid w:val="00416753"/>
    <w:rsid w:val="00516053"/>
    <w:rsid w:val="005D5716"/>
    <w:rsid w:val="0060619A"/>
    <w:rsid w:val="00607E24"/>
    <w:rsid w:val="006472B0"/>
    <w:rsid w:val="00654AF8"/>
    <w:rsid w:val="007127BE"/>
    <w:rsid w:val="00834063"/>
    <w:rsid w:val="0094093A"/>
    <w:rsid w:val="009A2DAA"/>
    <w:rsid w:val="00B77D5B"/>
    <w:rsid w:val="00CC6C3E"/>
    <w:rsid w:val="00D150FA"/>
    <w:rsid w:val="00DC63F0"/>
    <w:rsid w:val="00FA5334"/>
    <w:rsid w:val="00FC13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8F0557-B280-4885-95D7-6C1EF57E47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3F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C63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C63F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C63F0"/>
  </w:style>
  <w:style w:type="paragraph" w:styleId="Stopka">
    <w:name w:val="footer"/>
    <w:basedOn w:val="Normalny"/>
    <w:link w:val="StopkaZnak"/>
    <w:uiPriority w:val="99"/>
    <w:unhideWhenUsed/>
    <w:rsid w:val="00DC63F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C6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6680</Words>
  <Characters>40082</Characters>
  <Application>Microsoft Office Word</Application>
  <DocSecurity>0</DocSecurity>
  <Lines>334</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Jagieła Katarzyna</dc:creator>
  <cp:keywords/>
  <dc:description/>
  <cp:lastModifiedBy>Ligęza Jakub</cp:lastModifiedBy>
  <cp:revision>2</cp:revision>
  <dcterms:created xsi:type="dcterms:W3CDTF">2022-08-10T08:00:00Z</dcterms:created>
  <dcterms:modified xsi:type="dcterms:W3CDTF">2022-08-10T08:00:00Z</dcterms:modified>
</cp:coreProperties>
</file>